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ECD1" w14:textId="5E83DB60" w:rsidR="008D1604" w:rsidRPr="00DC3651" w:rsidRDefault="008D1604" w:rsidP="008D1604">
      <w:pPr>
        <w:pStyle w:val="SCT"/>
        <w:rPr>
          <w:rStyle w:val="NAM"/>
          <w:rFonts w:eastAsia="Times New Roman"/>
        </w:rPr>
      </w:pPr>
      <w:r>
        <w:t xml:space="preserve">Sección 27 21 33: </w:t>
      </w:r>
      <w:r>
        <w:rPr>
          <w:rStyle w:val="NAM"/>
          <w:caps/>
        </w:rPr>
        <w:t>Comunicaciones de datos Puntos de acceso INALÁMBRICOS</w:t>
      </w:r>
    </w:p>
    <w:p w14:paraId="0BF94AFC" w14:textId="77777777" w:rsidR="008B0CA9" w:rsidRPr="00DC3651" w:rsidRDefault="00B42691">
      <w:pPr>
        <w:pStyle w:val="CMT"/>
        <w:rPr>
          <w:rFonts w:eastAsia="Times New Roman"/>
        </w:rPr>
      </w:pPr>
      <w:r w:rsidRPr="00DC3651">
        <w:rPr>
          <w:rFonts w:eastAsia="Times New Roman"/>
        </w:rPr>
        <w:t>29899 Agoura Road, Suite 120</w:t>
      </w:r>
    </w:p>
    <w:p w14:paraId="75BE5BA4" w14:textId="77777777" w:rsidR="008B0CA9" w:rsidRPr="00DC3651" w:rsidRDefault="00B42691">
      <w:pPr>
        <w:pStyle w:val="CMT"/>
        <w:rPr>
          <w:rFonts w:eastAsia="Times New Roman"/>
        </w:rPr>
      </w:pPr>
      <w:r w:rsidRPr="00DC3651">
        <w:rPr>
          <w:rFonts w:eastAsia="Times New Roman"/>
        </w:rPr>
        <w:t>Agoura Hills, CA 91301</w:t>
      </w:r>
    </w:p>
    <w:p w14:paraId="22CEA854" w14:textId="77777777" w:rsidR="008B0CA9" w:rsidRPr="00DC3651" w:rsidRDefault="00B42691">
      <w:pPr>
        <w:pStyle w:val="CMT"/>
        <w:rPr>
          <w:rFonts w:eastAsia="Times New Roman"/>
        </w:rPr>
      </w:pPr>
      <w:r w:rsidRPr="00DC3651">
        <w:rPr>
          <w:rFonts w:eastAsia="Times New Roman"/>
        </w:rPr>
        <w:t>Phone: (800) 834-4969 / (818) 739-3400</w:t>
      </w:r>
    </w:p>
    <w:p w14:paraId="6D1C5AD5" w14:textId="77777777" w:rsidR="008B0CA9" w:rsidRPr="00DC3651" w:rsidRDefault="00B42691">
      <w:pPr>
        <w:pStyle w:val="CMT"/>
        <w:rPr>
          <w:rFonts w:eastAsia="Times New Roman"/>
        </w:rPr>
      </w:pPr>
      <w:r w:rsidRPr="00DC3651">
        <w:rPr>
          <w:rFonts w:eastAsia="Times New Roman"/>
        </w:rPr>
        <w:t>Email: techsupport@chatsworth.com</w:t>
      </w:r>
    </w:p>
    <w:p w14:paraId="73D57FAF" w14:textId="77777777" w:rsidR="008B0CA9" w:rsidRPr="00DC3651" w:rsidRDefault="00B42691">
      <w:pPr>
        <w:pStyle w:val="CMT"/>
        <w:rPr>
          <w:rFonts w:eastAsia="Times New Roman"/>
        </w:rPr>
      </w:pPr>
      <w:r w:rsidRPr="00DC3651">
        <w:rPr>
          <w:rFonts w:eastAsia="Times New Roman"/>
        </w:rPr>
        <w:t xml:space="preserve">Web:  </w:t>
      </w:r>
      <w:hyperlink r:id="rId6" w:history="1">
        <w:r w:rsidRPr="00DC3651">
          <w:rPr>
            <w:rStyle w:val="Hyperlink"/>
            <w:rFonts w:eastAsia="Times New Roman"/>
            <w:lang w:val="en-GB"/>
          </w:rPr>
          <w:t>http://www.chatsworth.com</w:t>
        </w:r>
      </w:hyperlink>
    </w:p>
    <w:p w14:paraId="60904266" w14:textId="77777777" w:rsidR="008B0CA9" w:rsidRPr="00DC3651" w:rsidRDefault="00B42691">
      <w:pPr>
        <w:pStyle w:val="CMT"/>
        <w:rPr>
          <w:rFonts w:eastAsia="Times New Roman"/>
          <w:i/>
          <w:iCs/>
        </w:rPr>
      </w:pPr>
      <w:r w:rsidRPr="00DC3651">
        <w:rPr>
          <w:rFonts w:eastAsia="Times New Roman"/>
        </w:rPr>
        <w:t xml:space="preserve">Specifier Notes:  This product guide specification is written according to the Construction Specifications Institute (CSI) 3-Part Format, including </w:t>
      </w:r>
      <w:r w:rsidRPr="00DC3651">
        <w:rPr>
          <w:rFonts w:eastAsia="Times New Roman"/>
          <w:i/>
          <w:iCs/>
        </w:rPr>
        <w:t>MasterFormat, SectionFormat,</w:t>
      </w:r>
      <w:r w:rsidRPr="00DC3651">
        <w:rPr>
          <w:rFonts w:eastAsia="Times New Roman"/>
        </w:rPr>
        <w:t xml:space="preserve"> and </w:t>
      </w:r>
      <w:r w:rsidRPr="00DC3651">
        <w:rPr>
          <w:rFonts w:eastAsia="Times New Roman"/>
          <w:i/>
          <w:iCs/>
        </w:rPr>
        <w:t>PageFormat,</w:t>
      </w:r>
      <w:r w:rsidRPr="00DC3651">
        <w:rPr>
          <w:rFonts w:eastAsia="Times New Roman"/>
        </w:rPr>
        <w:t xml:space="preserve"> as described in </w:t>
      </w:r>
      <w:r w:rsidRPr="00DC3651">
        <w:rPr>
          <w:rFonts w:eastAsia="Times New Roman"/>
          <w:i/>
          <w:iCs/>
        </w:rPr>
        <w:t>The Project Resource Manual—CSI Manual of Practice, Fifth Edition.</w:t>
      </w:r>
    </w:p>
    <w:p w14:paraId="19503D91" w14:textId="77777777" w:rsidR="008B0CA9" w:rsidRPr="00DC3651" w:rsidRDefault="00B42691">
      <w:pPr>
        <w:pStyle w:val="CMT"/>
        <w:rPr>
          <w:rFonts w:eastAsia="Times New Roman"/>
        </w:rPr>
      </w:pPr>
      <w:r w:rsidRPr="00DC3651">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656967A" w14:textId="77777777" w:rsidR="008B0CA9" w:rsidRPr="00DC3651" w:rsidRDefault="00B42691">
      <w:pPr>
        <w:pStyle w:val="CMT"/>
        <w:rPr>
          <w:rFonts w:eastAsia="Times New Roman"/>
        </w:rPr>
      </w:pPr>
      <w:r w:rsidRPr="00DC3651">
        <w:rPr>
          <w:rFonts w:eastAsia="Times New Roman"/>
        </w:rPr>
        <w:t xml:space="preserve">Section numbers are from </w:t>
      </w:r>
      <w:r w:rsidRPr="00DC3651">
        <w:rPr>
          <w:rFonts w:eastAsia="Times New Roman"/>
          <w:i/>
          <w:iCs/>
        </w:rPr>
        <w:t>MasterFormat 2016 Edition</w:t>
      </w:r>
      <w:r w:rsidRPr="00DC3651">
        <w:rPr>
          <w:rFonts w:eastAsia="Times New Roman"/>
        </w:rPr>
        <w:t>.</w:t>
      </w:r>
    </w:p>
    <w:p w14:paraId="32D7A601" w14:textId="77777777" w:rsidR="008B0CA9" w:rsidRPr="00DC3651" w:rsidRDefault="00B42691">
      <w:pPr>
        <w:pStyle w:val="PRT"/>
        <w:rPr>
          <w:rFonts w:eastAsia="Times New Roman"/>
        </w:rPr>
      </w:pPr>
      <w:r>
        <w:t>GENERAL</w:t>
      </w:r>
    </w:p>
    <w:p w14:paraId="16084C7B" w14:textId="77777777" w:rsidR="008B0CA9" w:rsidRPr="00DC3651" w:rsidRDefault="00B42691">
      <w:pPr>
        <w:pStyle w:val="ART"/>
        <w:outlineLvl w:val="9"/>
        <w:rPr>
          <w:rFonts w:eastAsia="Times New Roman"/>
        </w:rPr>
      </w:pPr>
      <w:r>
        <w:t>DOCUMENTOS RELACIONADOS</w:t>
      </w:r>
    </w:p>
    <w:p w14:paraId="576AD589" w14:textId="77777777" w:rsidR="008B0CA9" w:rsidRPr="00DC3651" w:rsidRDefault="00B42691">
      <w:pPr>
        <w:pStyle w:val="CMT"/>
        <w:rPr>
          <w:rFonts w:eastAsia="Times New Roman"/>
        </w:rPr>
      </w:pPr>
      <w:r w:rsidRPr="00DC3651">
        <w:rPr>
          <w:rFonts w:eastAsia="Times New Roman"/>
        </w:rPr>
        <w:t>Retain or delete this article in all Sections of Project Manual.</w:t>
      </w:r>
    </w:p>
    <w:p w14:paraId="388ED438" w14:textId="46B4AFC0" w:rsidR="008B0CA9" w:rsidRPr="00DC3651" w:rsidRDefault="00B42691" w:rsidP="00DA58E6">
      <w:pPr>
        <w:pStyle w:val="PR1lc"/>
        <w:rPr>
          <w:rFonts w:eastAsia="Times New Roman"/>
        </w:rPr>
      </w:pPr>
      <w:r>
        <w:t>Los dibujos y las disposiciones generales del Contrato, incluidas las Condiciones Generales y Complementarias y las Secciones de Especificaciones de la División 01, se aplican a esta Sección.</w:t>
      </w:r>
    </w:p>
    <w:p w14:paraId="5A702DF3" w14:textId="0793E1D7" w:rsidR="008B0CA9" w:rsidRPr="00DC3651" w:rsidRDefault="00145128">
      <w:pPr>
        <w:pStyle w:val="ART"/>
        <w:outlineLvl w:val="9"/>
        <w:rPr>
          <w:rFonts w:eastAsia="Times New Roman"/>
        </w:rPr>
      </w:pPr>
      <w:r>
        <w:t>RESUMEN</w:t>
      </w:r>
      <w:r>
        <w:br/>
      </w:r>
    </w:p>
    <w:p w14:paraId="27B049C6" w14:textId="77777777" w:rsidR="00145128" w:rsidRPr="00DC3651" w:rsidRDefault="00145128">
      <w:pPr>
        <w:pStyle w:val="PR2"/>
        <w:outlineLvl w:val="9"/>
        <w:rPr>
          <w:rFonts w:eastAsia="Times New Roman"/>
        </w:rPr>
      </w:pPr>
      <w:r>
        <w:t xml:space="preserve">La sección incluye: </w:t>
      </w:r>
    </w:p>
    <w:p w14:paraId="1453A7C6" w14:textId="27529F26" w:rsidR="008B0CA9" w:rsidRPr="00DC3651" w:rsidRDefault="00DA58E6" w:rsidP="000A70B7">
      <w:pPr>
        <w:pStyle w:val="PR3"/>
        <w:rPr>
          <w:rFonts w:eastAsia="Times New Roman"/>
        </w:rPr>
      </w:pPr>
      <w:r>
        <w:t>Contenedores RMR® para plafón</w:t>
      </w:r>
    </w:p>
    <w:p w14:paraId="68581A70" w14:textId="7A1BA178" w:rsidR="008B0CA9" w:rsidRPr="00DC3651" w:rsidRDefault="00DA58E6" w:rsidP="000A70B7">
      <w:pPr>
        <w:pStyle w:val="PR3"/>
        <w:rPr>
          <w:rFonts w:eastAsia="Times New Roman"/>
        </w:rPr>
      </w:pPr>
      <w:r>
        <w:t>Soporte RMR® en ángulo recto para muro</w:t>
      </w:r>
    </w:p>
    <w:p w14:paraId="6DFF92F7" w14:textId="77777777" w:rsidR="00DA58E6" w:rsidRPr="00DC3651" w:rsidRDefault="00DA58E6" w:rsidP="000A70B7">
      <w:pPr>
        <w:pStyle w:val="PR3"/>
        <w:rPr>
          <w:rFonts w:eastAsia="Times New Roman"/>
        </w:rPr>
      </w:pPr>
      <w:r>
        <w:t>Contenedores RMR® de montaje en pared</w:t>
      </w:r>
    </w:p>
    <w:p w14:paraId="3D180522" w14:textId="6B6D8B5D" w:rsidR="008B0CA9" w:rsidRPr="00DC3651" w:rsidRDefault="00DA58E6" w:rsidP="000A70B7">
      <w:pPr>
        <w:pStyle w:val="PR3"/>
        <w:rPr>
          <w:rFonts w:eastAsia="Times New Roman"/>
        </w:rPr>
      </w:pPr>
      <w:r>
        <w:t>Contenedores RMR® de montaje en pared inalámbricos</w:t>
      </w:r>
    </w:p>
    <w:p w14:paraId="7B565525" w14:textId="65235050" w:rsidR="004355D1" w:rsidRPr="00DC3651" w:rsidRDefault="00DA58E6" w:rsidP="000A70B7">
      <w:pPr>
        <w:pStyle w:val="PR3"/>
        <w:rPr>
          <w:rFonts w:eastAsia="Times New Roman"/>
        </w:rPr>
      </w:pPr>
      <w:r>
        <w:t>Bolardos RMR®</w:t>
      </w:r>
    </w:p>
    <w:p w14:paraId="16CCF417" w14:textId="4FBCE6D4" w:rsidR="007C4CCF" w:rsidRPr="00DC3651" w:rsidRDefault="007C4CCF" w:rsidP="007C4CCF">
      <w:pPr>
        <w:pStyle w:val="PR2"/>
        <w:numPr>
          <w:ilvl w:val="0"/>
          <w:numId w:val="0"/>
        </w:numPr>
        <w:ind w:left="1440" w:hanging="540"/>
        <w:outlineLvl w:val="9"/>
        <w:rPr>
          <w:rFonts w:eastAsia="Times New Roman"/>
        </w:rPr>
      </w:pPr>
    </w:p>
    <w:p w14:paraId="1CF03001" w14:textId="22344104" w:rsidR="007C4CCF" w:rsidRPr="00DC3651" w:rsidRDefault="00145128" w:rsidP="007C4CCF">
      <w:pPr>
        <w:pStyle w:val="PR2"/>
        <w:numPr>
          <w:ilvl w:val="0"/>
          <w:numId w:val="0"/>
        </w:numPr>
        <w:ind w:left="540" w:hanging="540"/>
        <w:outlineLvl w:val="9"/>
        <w:rPr>
          <w:rFonts w:eastAsia="Times New Roman"/>
        </w:rPr>
      </w:pPr>
      <w:r>
        <w:t xml:space="preserve">Requisitos relacionados: </w:t>
      </w:r>
      <w:r>
        <w:br/>
      </w:r>
    </w:p>
    <w:p w14:paraId="749763DA" w14:textId="77D73FC7" w:rsidR="007C4CCF" w:rsidRPr="00DC3651" w:rsidRDefault="00E54518" w:rsidP="00E54518">
      <w:pPr>
        <w:pStyle w:val="PR2"/>
        <w:numPr>
          <w:ilvl w:val="0"/>
          <w:numId w:val="0"/>
        </w:numPr>
        <w:ind w:left="1440" w:hanging="540"/>
        <w:outlineLvl w:val="9"/>
        <w:rPr>
          <w:rFonts w:eastAsia="Times New Roman"/>
        </w:rPr>
      </w:pPr>
      <w:r>
        <w:t>1. Sección 26 05 00: Resultados de trabajo comunes para sistemas eléctricos</w:t>
      </w:r>
    </w:p>
    <w:p w14:paraId="17B6B174" w14:textId="60540B14" w:rsidR="00FF3339" w:rsidRPr="00DC3651" w:rsidRDefault="00FF3339" w:rsidP="00E54518">
      <w:pPr>
        <w:pStyle w:val="PR2"/>
        <w:numPr>
          <w:ilvl w:val="0"/>
          <w:numId w:val="0"/>
        </w:numPr>
        <w:ind w:left="1440" w:hanging="540"/>
        <w:outlineLvl w:val="9"/>
        <w:rPr>
          <w:rFonts w:eastAsia="Times New Roman"/>
        </w:rPr>
      </w:pPr>
      <w:r>
        <w:t>2. Sección 27 11 16: Gabinetes, bastidores, marcos y contenedores para comunicaciones</w:t>
      </w:r>
    </w:p>
    <w:p w14:paraId="3D9AF4C0" w14:textId="77777777" w:rsidR="00882D08" w:rsidRPr="00DC3651" w:rsidRDefault="00882D08" w:rsidP="00E54518">
      <w:pPr>
        <w:pStyle w:val="PR2"/>
        <w:numPr>
          <w:ilvl w:val="0"/>
          <w:numId w:val="0"/>
        </w:numPr>
        <w:ind w:left="1440" w:hanging="540"/>
        <w:outlineLvl w:val="9"/>
        <w:rPr>
          <w:rFonts w:eastAsia="Times New Roman"/>
        </w:rPr>
      </w:pPr>
    </w:p>
    <w:p w14:paraId="431FC68A" w14:textId="12A2F41B" w:rsidR="001E01B9" w:rsidRPr="00DC3651" w:rsidRDefault="001E01B9" w:rsidP="00882D08">
      <w:pPr>
        <w:pStyle w:val="PR2"/>
        <w:numPr>
          <w:ilvl w:val="0"/>
          <w:numId w:val="0"/>
        </w:numPr>
        <w:rPr>
          <w:rFonts w:eastAsia="Times New Roman"/>
        </w:rPr>
      </w:pPr>
      <w:r>
        <w:t>1.3 DEFINICIONES</w:t>
      </w:r>
    </w:p>
    <w:p w14:paraId="41A8B00F" w14:textId="1701C31D" w:rsidR="002339AB" w:rsidRPr="00DC3651" w:rsidRDefault="002339AB" w:rsidP="008E2021">
      <w:pPr>
        <w:pStyle w:val="PR2"/>
        <w:numPr>
          <w:ilvl w:val="0"/>
          <w:numId w:val="0"/>
        </w:numPr>
        <w:ind w:left="270"/>
        <w:rPr>
          <w:rFonts w:eastAsia="Times New Roman"/>
        </w:rPr>
      </w:pPr>
      <w:r>
        <w:t xml:space="preserve">UL: </w:t>
      </w:r>
      <w:proofErr w:type="spellStart"/>
      <w:r>
        <w:t>Underwriters</w:t>
      </w:r>
      <w:proofErr w:type="spellEnd"/>
      <w:r>
        <w:t xml:space="preserve"> </w:t>
      </w:r>
      <w:proofErr w:type="spellStart"/>
      <w:r>
        <w:t>Laboratories</w:t>
      </w:r>
      <w:proofErr w:type="spellEnd"/>
    </w:p>
    <w:p w14:paraId="77CEDD81" w14:textId="1C83DE4B" w:rsidR="006B7ECC" w:rsidRPr="00DC3651" w:rsidRDefault="006B7ECC" w:rsidP="008E2021">
      <w:pPr>
        <w:pStyle w:val="PR2"/>
        <w:numPr>
          <w:ilvl w:val="0"/>
          <w:numId w:val="0"/>
        </w:numPr>
        <w:ind w:left="270"/>
        <w:rPr>
          <w:rFonts w:eastAsia="Times New Roman"/>
        </w:rPr>
      </w:pPr>
      <w:r>
        <w:t>NFPA: Asociación Nacional de Protección contra el Fuego</w:t>
      </w:r>
    </w:p>
    <w:p w14:paraId="09F3AE1A" w14:textId="28D061BC" w:rsidR="006B7ECC" w:rsidRPr="00DC3651" w:rsidRDefault="006B7ECC" w:rsidP="008E2021">
      <w:pPr>
        <w:pStyle w:val="PR2"/>
        <w:numPr>
          <w:ilvl w:val="0"/>
          <w:numId w:val="0"/>
        </w:numPr>
        <w:ind w:left="270"/>
        <w:rPr>
          <w:rFonts w:eastAsia="Times New Roman"/>
        </w:rPr>
      </w:pPr>
      <w:r>
        <w:t>NEC: Código Eléctrico Nacional</w:t>
      </w:r>
    </w:p>
    <w:p w14:paraId="418EDC6E" w14:textId="68CC11AC" w:rsidR="00AA18CB" w:rsidRPr="00DC3651" w:rsidRDefault="00AA18CB" w:rsidP="008E2021">
      <w:pPr>
        <w:pStyle w:val="PR2"/>
        <w:numPr>
          <w:ilvl w:val="0"/>
          <w:numId w:val="0"/>
        </w:numPr>
        <w:ind w:left="270"/>
        <w:rPr>
          <w:rFonts w:eastAsia="Times New Roman"/>
        </w:rPr>
      </w:pPr>
      <w:r>
        <w:t>NEMA: Asociación Nacional de Fabricantes Eléctricos</w:t>
      </w:r>
    </w:p>
    <w:p w14:paraId="3F0A4321" w14:textId="37B1E453" w:rsidR="00AA18CB" w:rsidRPr="00DC3651" w:rsidRDefault="00AA18CB" w:rsidP="000A70B7">
      <w:pPr>
        <w:pStyle w:val="PR2"/>
        <w:numPr>
          <w:ilvl w:val="0"/>
          <w:numId w:val="0"/>
        </w:numPr>
        <w:ind w:left="270"/>
        <w:rPr>
          <w:rFonts w:eastAsia="Times New Roman"/>
        </w:rPr>
      </w:pPr>
      <w:r>
        <w:t>IEC: Comisión Electrotécnica Internacional</w:t>
      </w:r>
    </w:p>
    <w:p w14:paraId="2621846A" w14:textId="6EE1AD92" w:rsidR="001E01B9" w:rsidRPr="00DC3651" w:rsidRDefault="001E01B9" w:rsidP="00882D08">
      <w:pPr>
        <w:pStyle w:val="PR2"/>
        <w:numPr>
          <w:ilvl w:val="0"/>
          <w:numId w:val="0"/>
        </w:numPr>
        <w:rPr>
          <w:rFonts w:eastAsia="Times New Roman"/>
        </w:rPr>
      </w:pPr>
    </w:p>
    <w:p w14:paraId="62CCBCCA" w14:textId="77777777" w:rsidR="001E01B9" w:rsidRPr="00DC3651" w:rsidRDefault="001E01B9" w:rsidP="00882D08">
      <w:pPr>
        <w:pStyle w:val="PR2"/>
        <w:numPr>
          <w:ilvl w:val="0"/>
          <w:numId w:val="0"/>
        </w:numPr>
        <w:rPr>
          <w:rFonts w:eastAsia="Times New Roman"/>
        </w:rPr>
      </w:pPr>
    </w:p>
    <w:p w14:paraId="366BBF76" w14:textId="5E9CDEE4" w:rsidR="001E01B9" w:rsidRPr="00DC3651" w:rsidRDefault="00882D08" w:rsidP="00882D08">
      <w:pPr>
        <w:pStyle w:val="PR2"/>
        <w:numPr>
          <w:ilvl w:val="0"/>
          <w:numId w:val="0"/>
        </w:numPr>
        <w:rPr>
          <w:rFonts w:eastAsia="Times New Roman"/>
        </w:rPr>
      </w:pPr>
      <w:r>
        <w:t>1.4</w:t>
      </w:r>
    </w:p>
    <w:p w14:paraId="738A15DA" w14:textId="4C56BBB4" w:rsidR="00882D08" w:rsidRPr="00DC3651" w:rsidRDefault="00882D08" w:rsidP="00882D08">
      <w:pPr>
        <w:pStyle w:val="PR2"/>
        <w:numPr>
          <w:ilvl w:val="0"/>
          <w:numId w:val="0"/>
        </w:numPr>
        <w:rPr>
          <w:rFonts w:eastAsia="Times New Roman"/>
        </w:rPr>
      </w:pPr>
      <w:r>
        <w:t xml:space="preserve">   REFERENCIAS</w:t>
      </w:r>
    </w:p>
    <w:p w14:paraId="7500882D" w14:textId="77777777" w:rsidR="00882D08" w:rsidRPr="00DC3651" w:rsidRDefault="00882D08" w:rsidP="00882D08">
      <w:pPr>
        <w:pStyle w:val="PR2"/>
        <w:numPr>
          <w:ilvl w:val="0"/>
          <w:numId w:val="0"/>
        </w:numPr>
        <w:rPr>
          <w:rFonts w:eastAsia="Times New Roman"/>
        </w:rPr>
      </w:pPr>
    </w:p>
    <w:p w14:paraId="137542BC" w14:textId="77A4E44C" w:rsidR="00882D08" w:rsidRPr="00DC3651" w:rsidRDefault="00882D08" w:rsidP="00882D08">
      <w:pPr>
        <w:pStyle w:val="PR2"/>
        <w:numPr>
          <w:ilvl w:val="0"/>
          <w:numId w:val="0"/>
        </w:numPr>
        <w:ind w:left="540"/>
        <w:rPr>
          <w:rFonts w:eastAsia="Times New Roman"/>
        </w:rPr>
      </w:pPr>
      <w:r>
        <w:t>1. NFPA 70, Código Eléctrico Nacional</w:t>
      </w:r>
    </w:p>
    <w:p w14:paraId="6A967C6D" w14:textId="0BD72096" w:rsidR="007C4CCF" w:rsidRPr="00DC3651" w:rsidRDefault="00882D08" w:rsidP="00882D08">
      <w:pPr>
        <w:pStyle w:val="PR2"/>
        <w:numPr>
          <w:ilvl w:val="0"/>
          <w:numId w:val="0"/>
        </w:numPr>
        <w:ind w:left="1080" w:hanging="540"/>
        <w:outlineLvl w:val="9"/>
        <w:rPr>
          <w:rFonts w:eastAsia="Times New Roman"/>
        </w:rPr>
      </w:pPr>
      <w:r>
        <w:t>2. NEMA 250-2018, Contenedores para equipos eléctricos</w:t>
      </w:r>
    </w:p>
    <w:p w14:paraId="7D883119" w14:textId="551615A2" w:rsidR="00D57CF9" w:rsidRPr="00DC3651" w:rsidRDefault="00D57CF9" w:rsidP="00882D08">
      <w:pPr>
        <w:pStyle w:val="PR2"/>
        <w:numPr>
          <w:ilvl w:val="0"/>
          <w:numId w:val="0"/>
        </w:numPr>
        <w:ind w:left="1080" w:hanging="540"/>
        <w:outlineLvl w:val="9"/>
        <w:rPr>
          <w:rFonts w:eastAsia="Times New Roman"/>
        </w:rPr>
      </w:pPr>
      <w:r>
        <w:t>3. IEC 60529, Códigos de protección de entrada</w:t>
      </w:r>
    </w:p>
    <w:p w14:paraId="08F15572" w14:textId="2D67B31C" w:rsidR="00EA7D01" w:rsidRPr="00DC3651" w:rsidRDefault="00EA7D01" w:rsidP="00882D08">
      <w:pPr>
        <w:pStyle w:val="PR2"/>
        <w:numPr>
          <w:ilvl w:val="0"/>
          <w:numId w:val="0"/>
        </w:numPr>
        <w:ind w:left="1080" w:hanging="540"/>
        <w:outlineLvl w:val="9"/>
        <w:rPr>
          <w:rFonts w:eastAsia="Times New Roman"/>
        </w:rPr>
      </w:pPr>
    </w:p>
    <w:p w14:paraId="7E4EF197" w14:textId="0D3220E8" w:rsidR="00EA7D01" w:rsidRPr="00DC3651" w:rsidRDefault="00E86BAC" w:rsidP="00550E3D">
      <w:pPr>
        <w:pStyle w:val="PR2"/>
        <w:numPr>
          <w:ilvl w:val="1"/>
          <w:numId w:val="6"/>
        </w:numPr>
        <w:outlineLvl w:val="9"/>
        <w:rPr>
          <w:rFonts w:eastAsia="Times New Roman"/>
        </w:rPr>
      </w:pPr>
      <w:r>
        <w:t>PROPUESTAS DE ACCIONES</w:t>
      </w:r>
    </w:p>
    <w:p w14:paraId="716EE635" w14:textId="77777777" w:rsidR="00550E3D" w:rsidRPr="00DC3651" w:rsidRDefault="00550E3D" w:rsidP="00550E3D">
      <w:pPr>
        <w:pStyle w:val="PR2"/>
        <w:numPr>
          <w:ilvl w:val="0"/>
          <w:numId w:val="0"/>
        </w:numPr>
        <w:ind w:left="360"/>
        <w:outlineLvl w:val="9"/>
        <w:rPr>
          <w:rFonts w:eastAsia="Times New Roman"/>
        </w:rPr>
      </w:pPr>
    </w:p>
    <w:p w14:paraId="2A2A0EE0" w14:textId="77777777" w:rsidR="00550E3D" w:rsidRPr="00DC3651" w:rsidRDefault="00550E3D" w:rsidP="00550E3D">
      <w:pPr>
        <w:pStyle w:val="PR2"/>
        <w:numPr>
          <w:ilvl w:val="5"/>
          <w:numId w:val="8"/>
        </w:numPr>
        <w:rPr>
          <w:rFonts w:eastAsia="Times New Roman"/>
        </w:rPr>
      </w:pPr>
      <w:r>
        <w:t>Presentar conforme a las disposiciones de la Sección 01 30 00: Requisitos administrativos</w:t>
      </w:r>
    </w:p>
    <w:p w14:paraId="6B18D5D5" w14:textId="77777777" w:rsidR="00550E3D" w:rsidRPr="00DC3651" w:rsidRDefault="00550E3D" w:rsidP="00550E3D">
      <w:pPr>
        <w:pStyle w:val="PR2"/>
        <w:numPr>
          <w:ilvl w:val="5"/>
          <w:numId w:val="8"/>
        </w:numPr>
        <w:rPr>
          <w:rFonts w:eastAsia="Times New Roman"/>
        </w:rPr>
      </w:pPr>
      <w:r>
        <w:t>Datos del producto: Hojas de datos del fabricante de cada producto que se utilizará, que incluyen:</w:t>
      </w:r>
    </w:p>
    <w:p w14:paraId="2B210081" w14:textId="77777777" w:rsidR="00550E3D" w:rsidRPr="00DC3651" w:rsidRDefault="00550E3D" w:rsidP="00550E3D">
      <w:pPr>
        <w:pStyle w:val="PR3"/>
        <w:rPr>
          <w:rFonts w:eastAsia="Times New Roman"/>
        </w:rPr>
      </w:pPr>
      <w:r>
        <w:lastRenderedPageBreak/>
        <w:t>Instrucciones de instalación</w:t>
      </w:r>
    </w:p>
    <w:p w14:paraId="1BEAE330" w14:textId="087CEA79" w:rsidR="00550E3D" w:rsidRPr="00DC3651" w:rsidRDefault="000F6334" w:rsidP="00550E3D">
      <w:pPr>
        <w:pStyle w:val="PR3"/>
        <w:rPr>
          <w:rFonts w:eastAsia="Times New Roman"/>
        </w:rPr>
      </w:pPr>
      <w:r>
        <w:t>Hojas de información</w:t>
      </w:r>
    </w:p>
    <w:p w14:paraId="3520EFAB" w14:textId="241079FA" w:rsidR="00550E3D" w:rsidRPr="00DC3651" w:rsidRDefault="00550E3D" w:rsidP="00550E3D">
      <w:pPr>
        <w:pStyle w:val="PR3"/>
        <w:rPr>
          <w:rFonts w:eastAsia="Times New Roman"/>
        </w:rPr>
      </w:pPr>
      <w:r>
        <w:t>Requisitos y recomendaciones de almacenamiento y manipulación</w:t>
      </w:r>
    </w:p>
    <w:p w14:paraId="47F775DF" w14:textId="791A6747" w:rsidR="00ED28DB" w:rsidRPr="00DC3651" w:rsidRDefault="00C94E90" w:rsidP="00DC3651">
      <w:pPr>
        <w:pStyle w:val="PR1"/>
        <w:numPr>
          <w:ilvl w:val="0"/>
          <w:numId w:val="0"/>
        </w:numPr>
        <w:ind w:left="360"/>
      </w:pPr>
      <w:r>
        <w:t>PARTE 2: PRODUCTOS</w:t>
      </w:r>
    </w:p>
    <w:p w14:paraId="5E88DFC0" w14:textId="165D4A3D" w:rsidR="00ED28DB" w:rsidRPr="00DC3651" w:rsidRDefault="00C94E90" w:rsidP="00DC3651">
      <w:pPr>
        <w:pStyle w:val="PR1"/>
        <w:numPr>
          <w:ilvl w:val="0"/>
          <w:numId w:val="0"/>
        </w:numPr>
        <w:ind w:left="360"/>
        <w:rPr>
          <w:b/>
          <w:bCs/>
        </w:rPr>
      </w:pPr>
      <w:r>
        <w:rPr>
          <w:b/>
          <w:bCs/>
        </w:rPr>
        <w:t>2.1 CONTENEDORES DE BLOQUEO DE TECHO SUSPENDIDO Y RÍGIDO</w:t>
      </w:r>
    </w:p>
    <w:p w14:paraId="2D1398EF" w14:textId="77777777" w:rsidR="00ED28DB" w:rsidRPr="00DC3651" w:rsidRDefault="00ED28DB" w:rsidP="00ED28DB">
      <w:pPr>
        <w:pStyle w:val="PR2"/>
        <w:numPr>
          <w:ilvl w:val="0"/>
          <w:numId w:val="0"/>
        </w:numPr>
      </w:pPr>
    </w:p>
    <w:p w14:paraId="34ABF634" w14:textId="5607F5AB" w:rsidR="00ED28DB" w:rsidRPr="00C9257F" w:rsidRDefault="00A76EA9" w:rsidP="00650775">
      <w:pPr>
        <w:pStyle w:val="PR2"/>
        <w:numPr>
          <w:ilvl w:val="0"/>
          <w:numId w:val="0"/>
        </w:numPr>
        <w:rPr>
          <w:b/>
          <w:bCs/>
          <w:color w:val="000000" w:themeColor="text1"/>
        </w:rPr>
      </w:pPr>
      <w:r>
        <w:rPr>
          <w:color w:val="000000" w:themeColor="text1"/>
        </w:rPr>
        <w:t xml:space="preserve">A. Base de diseño: Sujeto al cumplimiento de los requisitos, proporcionado por Chatsworth </w:t>
      </w:r>
      <w:proofErr w:type="spellStart"/>
      <w:r>
        <w:rPr>
          <w:color w:val="000000" w:themeColor="text1"/>
        </w:rPr>
        <w:t>Products</w:t>
      </w:r>
      <w:proofErr w:type="spellEnd"/>
      <w:r>
        <w:rPr>
          <w:color w:val="000000" w:themeColor="text1"/>
        </w:rPr>
        <w:t xml:space="preserve"> (CPI), contenedor inalámbrico celular, contenedor para techo RMR, modelo 52022-960 (DOME) y modelo 52022-961 (ANTENNA)</w:t>
      </w:r>
    </w:p>
    <w:p w14:paraId="7B9CB235" w14:textId="738AAB4C" w:rsidR="00ED28DB" w:rsidRPr="00C9257F" w:rsidRDefault="00ED28DB" w:rsidP="00650775">
      <w:pPr>
        <w:pStyle w:val="PR1"/>
        <w:numPr>
          <w:ilvl w:val="0"/>
          <w:numId w:val="0"/>
        </w:numPr>
        <w:ind w:left="360"/>
        <w:rPr>
          <w:color w:val="000000" w:themeColor="text1"/>
        </w:rPr>
      </w:pPr>
      <w:r>
        <w:rPr>
          <w:color w:val="000000" w:themeColor="text1"/>
        </w:rPr>
        <w:t xml:space="preserve">1. Diseño: El contenedor de consolidación para telecomunicaciones de uso general, montado en el techo, será un contenedor con cerradura de baldosas para techo, de </w:t>
      </w:r>
      <w:r>
        <w:rPr>
          <w:b/>
          <w:bCs/>
          <w:color w:val="000000" w:themeColor="text1"/>
        </w:rPr>
        <w:t>2 pies x 2 pies (610 mm x 610 mm)</w:t>
      </w:r>
      <w:r>
        <w:rPr>
          <w:color w:val="000000" w:themeColor="text1"/>
        </w:rPr>
        <w:t xml:space="preserve"> diseñado para acomodar hasta </w:t>
      </w:r>
      <w:r>
        <w:rPr>
          <w:b/>
          <w:bCs/>
          <w:color w:val="000000" w:themeColor="text1"/>
        </w:rPr>
        <w:t>(4)</w:t>
      </w:r>
      <w:r>
        <w:rPr>
          <w:color w:val="000000" w:themeColor="text1"/>
        </w:rPr>
        <w:t xml:space="preserve"> antenas y puntos de acceso de nodo de radio inalámbrico de celda pequeña. Adecuado para equipos sin clasificación </w:t>
      </w:r>
      <w:proofErr w:type="spellStart"/>
      <w:r>
        <w:rPr>
          <w:color w:val="000000" w:themeColor="text1"/>
        </w:rPr>
        <w:t>plénum</w:t>
      </w:r>
      <w:proofErr w:type="spellEnd"/>
      <w:r>
        <w:rPr>
          <w:color w:val="000000" w:themeColor="text1"/>
        </w:rPr>
        <w:t>.</w:t>
      </w:r>
    </w:p>
    <w:p w14:paraId="080FF88C" w14:textId="04A38520" w:rsidR="00ED28DB" w:rsidRPr="00C9257F" w:rsidRDefault="00ED28DB" w:rsidP="00650775">
      <w:pPr>
        <w:pStyle w:val="PR1"/>
        <w:numPr>
          <w:ilvl w:val="0"/>
          <w:numId w:val="0"/>
        </w:numPr>
        <w:ind w:left="360"/>
        <w:rPr>
          <w:color w:val="000000" w:themeColor="text1"/>
        </w:rPr>
      </w:pPr>
      <w:r>
        <w:rPr>
          <w:color w:val="000000" w:themeColor="text1"/>
        </w:rPr>
        <w:t xml:space="preserve">2. Rendimiento: Listado por UL y diseñado para cumplir con los párrafos 300-22 y 300-23 del Código Eléctrico Nacional (NEC) para su instalación en el espacio de manejo de aire. </w:t>
      </w:r>
    </w:p>
    <w:p w14:paraId="1E2A5323" w14:textId="29DA69B6" w:rsidR="00ED28DB" w:rsidRPr="00C9257F" w:rsidRDefault="00ED28DB" w:rsidP="00650775">
      <w:pPr>
        <w:pStyle w:val="PR1"/>
        <w:numPr>
          <w:ilvl w:val="0"/>
          <w:numId w:val="0"/>
        </w:numPr>
        <w:ind w:left="360"/>
        <w:rPr>
          <w:color w:val="000000" w:themeColor="text1"/>
        </w:rPr>
      </w:pPr>
      <w:r>
        <w:rPr>
          <w:color w:val="000000" w:themeColor="text1"/>
        </w:rPr>
        <w:t xml:space="preserve">3. Panel de montaje abatible para montar hasta </w:t>
      </w:r>
      <w:r>
        <w:rPr>
          <w:b/>
          <w:bCs/>
          <w:color w:val="000000" w:themeColor="text1"/>
        </w:rPr>
        <w:t>(4)</w:t>
      </w:r>
      <w:r>
        <w:rPr>
          <w:color w:val="000000" w:themeColor="text1"/>
        </w:rPr>
        <w:t xml:space="preserve"> puntos de acceso de nodo de radio de celda pequeña de la mayoría de los proveedores. </w:t>
      </w:r>
    </w:p>
    <w:p w14:paraId="7B1A8404" w14:textId="6CADE282" w:rsidR="00ED28DB" w:rsidRPr="00C9257F" w:rsidRDefault="00ED28DB" w:rsidP="00650775">
      <w:pPr>
        <w:pStyle w:val="PR1"/>
        <w:numPr>
          <w:ilvl w:val="0"/>
          <w:numId w:val="0"/>
        </w:numPr>
        <w:ind w:left="360"/>
        <w:rPr>
          <w:color w:val="000000" w:themeColor="text1"/>
        </w:rPr>
      </w:pPr>
      <w:r>
        <w:rPr>
          <w:color w:val="000000" w:themeColor="text1"/>
        </w:rPr>
        <w:t xml:space="preserve">4. Puerta de bloqueo con bisagras. </w:t>
      </w:r>
    </w:p>
    <w:p w14:paraId="27D09D49" w14:textId="47A0B428" w:rsidR="00ED28DB" w:rsidRPr="00C9257F" w:rsidRDefault="00ED28DB" w:rsidP="00650775">
      <w:pPr>
        <w:pStyle w:val="PR1"/>
        <w:numPr>
          <w:ilvl w:val="0"/>
          <w:numId w:val="0"/>
        </w:numPr>
        <w:ind w:left="360"/>
        <w:rPr>
          <w:color w:val="000000" w:themeColor="text1"/>
        </w:rPr>
      </w:pPr>
      <w:r>
        <w:rPr>
          <w:color w:val="000000" w:themeColor="text1"/>
        </w:rPr>
        <w:t xml:space="preserve">5. El modelo </w:t>
      </w:r>
      <w:r>
        <w:rPr>
          <w:b/>
          <w:bCs/>
          <w:color w:val="000000" w:themeColor="text1"/>
        </w:rPr>
        <w:t>52022-960 (DOME)</w:t>
      </w:r>
      <w:r>
        <w:rPr>
          <w:color w:val="000000" w:themeColor="text1"/>
        </w:rPr>
        <w:t xml:space="preserve"> tiene un domo de plástico ABS UL 94-5VA ventilado que permite que el punto de acceso al nodo de radio de celda pequeña se proyecte debajo del cielo raso.</w:t>
      </w:r>
    </w:p>
    <w:p w14:paraId="6089CEF8" w14:textId="62D81AAB" w:rsidR="00ED28DB" w:rsidRPr="00C9257F" w:rsidRDefault="00ED28DB" w:rsidP="00650775">
      <w:pPr>
        <w:pStyle w:val="PR1"/>
        <w:numPr>
          <w:ilvl w:val="0"/>
          <w:numId w:val="0"/>
        </w:numPr>
        <w:ind w:left="360"/>
        <w:rPr>
          <w:color w:val="000000" w:themeColor="text1"/>
        </w:rPr>
      </w:pPr>
      <w:r>
        <w:rPr>
          <w:color w:val="000000" w:themeColor="text1"/>
        </w:rPr>
        <w:t xml:space="preserve">6. El modelo </w:t>
      </w:r>
      <w:r>
        <w:rPr>
          <w:b/>
          <w:bCs/>
          <w:color w:val="000000" w:themeColor="text1"/>
        </w:rPr>
        <w:t>52022-961 (ANTENNAS)</w:t>
      </w:r>
      <w:r>
        <w:rPr>
          <w:color w:val="000000" w:themeColor="text1"/>
        </w:rPr>
        <w:t xml:space="preserve"> tiene una puerta metálica ventilada con aberturas para múltiples antenas externas.</w:t>
      </w:r>
    </w:p>
    <w:p w14:paraId="21D5E40D" w14:textId="7D41E579" w:rsidR="00ED28DB" w:rsidRPr="00C9257F" w:rsidRDefault="00ED28DB" w:rsidP="00124D1F">
      <w:pPr>
        <w:pStyle w:val="PR1"/>
        <w:numPr>
          <w:ilvl w:val="0"/>
          <w:numId w:val="0"/>
        </w:numPr>
        <w:ind w:left="360"/>
        <w:rPr>
          <w:color w:val="000000" w:themeColor="text1"/>
        </w:rPr>
      </w:pPr>
      <w:r>
        <w:rPr>
          <w:color w:val="000000" w:themeColor="text1"/>
        </w:rPr>
        <w:t xml:space="preserve">7. Incluye </w:t>
      </w:r>
      <w:r>
        <w:rPr>
          <w:b/>
          <w:color w:val="000000" w:themeColor="text1"/>
        </w:rPr>
        <w:t>(4)</w:t>
      </w:r>
      <w:r>
        <w:rPr>
          <w:color w:val="000000" w:themeColor="text1"/>
        </w:rPr>
        <w:t xml:space="preserve"> arandelas cortafuego de tamaño comercial de </w:t>
      </w:r>
      <w:r>
        <w:rPr>
          <w:b/>
          <w:bCs/>
          <w:color w:val="000000" w:themeColor="text1"/>
        </w:rPr>
        <w:t xml:space="preserve">1 pulgada (25.4 mm) </w:t>
      </w:r>
      <w:r>
        <w:rPr>
          <w:color w:val="000000" w:themeColor="text1"/>
        </w:rPr>
        <w:t>para aberturas de salida de cables.</w:t>
      </w:r>
    </w:p>
    <w:p w14:paraId="3414F3C4" w14:textId="617DC134" w:rsidR="00ED28DB" w:rsidRPr="00C9257F" w:rsidRDefault="00ED28DB" w:rsidP="00124D1F">
      <w:pPr>
        <w:pStyle w:val="PR1"/>
        <w:numPr>
          <w:ilvl w:val="0"/>
          <w:numId w:val="0"/>
        </w:numPr>
        <w:ind w:left="360"/>
        <w:rPr>
          <w:color w:val="000000" w:themeColor="text1"/>
        </w:rPr>
      </w:pPr>
      <w:r>
        <w:rPr>
          <w:color w:val="000000" w:themeColor="text1"/>
        </w:rPr>
        <w:t>8. Construcción: Blanco, calibre 10, caja posterior y brida de aluminio con recubrimiento en polvo, blanco, calibre 10, puerta de aluminio con recubrimiento de polvo. El panel deslizable es de acero galvanizado.</w:t>
      </w:r>
    </w:p>
    <w:p w14:paraId="66CBF6A2" w14:textId="50C68A6A" w:rsidR="00ED28DB" w:rsidRPr="00C9257F" w:rsidRDefault="00ED28DB" w:rsidP="00124D1F">
      <w:pPr>
        <w:pStyle w:val="PR1"/>
        <w:numPr>
          <w:ilvl w:val="0"/>
          <w:numId w:val="0"/>
        </w:numPr>
        <w:ind w:left="360"/>
        <w:rPr>
          <w:color w:val="000000" w:themeColor="text1"/>
        </w:rPr>
      </w:pPr>
      <w:r>
        <w:rPr>
          <w:color w:val="000000" w:themeColor="text1"/>
        </w:rPr>
        <w:t>9. El contenedor debe estar soportado por el sistema estructural del cielo raso del edificio, no por el trabajo de rejilla de baldosas.</w:t>
      </w:r>
    </w:p>
    <w:p w14:paraId="39C183A3" w14:textId="4B7BF944" w:rsidR="00ED28DB" w:rsidRPr="00C9257F" w:rsidRDefault="00ED28DB" w:rsidP="00124D1F">
      <w:pPr>
        <w:pStyle w:val="PR1"/>
        <w:numPr>
          <w:ilvl w:val="0"/>
          <w:numId w:val="0"/>
        </w:numPr>
        <w:ind w:left="360"/>
        <w:rPr>
          <w:color w:val="000000" w:themeColor="text1"/>
        </w:rPr>
      </w:pPr>
      <w:r>
        <w:rPr>
          <w:color w:val="000000" w:themeColor="text1"/>
        </w:rPr>
        <w:t xml:space="preserve">10. El peso máximo dentro del contenedor es de </w:t>
      </w:r>
      <w:r>
        <w:rPr>
          <w:b/>
          <w:bCs/>
          <w:color w:val="000000" w:themeColor="text1"/>
        </w:rPr>
        <w:t>25 libras (11.4 kg)</w:t>
      </w:r>
      <w:r>
        <w:rPr>
          <w:color w:val="000000" w:themeColor="text1"/>
        </w:rPr>
        <w:t>.</w:t>
      </w:r>
    </w:p>
    <w:p w14:paraId="6CEF7F37" w14:textId="428B7ACF" w:rsidR="00E534EA" w:rsidRPr="00C9257F" w:rsidRDefault="00ED28DB" w:rsidP="00226620">
      <w:pPr>
        <w:pStyle w:val="PR1"/>
        <w:numPr>
          <w:ilvl w:val="0"/>
          <w:numId w:val="0"/>
        </w:numPr>
        <w:ind w:left="360"/>
        <w:rPr>
          <w:color w:val="000000" w:themeColor="text1"/>
        </w:rPr>
      </w:pPr>
      <w:r>
        <w:rPr>
          <w:color w:val="000000" w:themeColor="text1"/>
        </w:rPr>
        <w:t xml:space="preserve">11. Tamaño: La brida tiene </w:t>
      </w:r>
      <w:r>
        <w:rPr>
          <w:b/>
          <w:bCs/>
          <w:color w:val="000000" w:themeColor="text1"/>
        </w:rPr>
        <w:t>23.8 pulgadas (610 mm) de alto por 23.8 pulgadas (610 mm) de ancho</w:t>
      </w:r>
      <w:r>
        <w:rPr>
          <w:color w:val="000000" w:themeColor="text1"/>
        </w:rPr>
        <w:t xml:space="preserve">. El gabinete mide </w:t>
      </w:r>
      <w:r>
        <w:rPr>
          <w:b/>
          <w:bCs/>
          <w:color w:val="000000" w:themeColor="text1"/>
        </w:rPr>
        <w:t>22.7 pulgadas x 22.7 pulgadas (577 mm x 577 mm</w:t>
      </w:r>
      <w:proofErr w:type="gramStart"/>
      <w:r>
        <w:rPr>
          <w:b/>
          <w:bCs/>
          <w:color w:val="000000" w:themeColor="text1"/>
        </w:rPr>
        <w:t>)</w:t>
      </w:r>
      <w:r>
        <w:rPr>
          <w:color w:val="000000" w:themeColor="text1"/>
        </w:rPr>
        <w:t xml:space="preserve"> ,</w:t>
      </w:r>
      <w:proofErr w:type="gramEnd"/>
      <w:r>
        <w:rPr>
          <w:color w:val="000000" w:themeColor="text1"/>
        </w:rPr>
        <w:t xml:space="preserve"> el modelo </w:t>
      </w:r>
      <w:r>
        <w:rPr>
          <w:b/>
          <w:bCs/>
          <w:color w:val="000000" w:themeColor="text1"/>
        </w:rPr>
        <w:t>52022-960 (DOME)</w:t>
      </w:r>
      <w:r>
        <w:rPr>
          <w:color w:val="000000" w:themeColor="text1"/>
        </w:rPr>
        <w:t xml:space="preserve"> tiene </w:t>
      </w:r>
      <w:r>
        <w:rPr>
          <w:b/>
          <w:bCs/>
          <w:color w:val="000000" w:themeColor="text1"/>
        </w:rPr>
        <w:t>4.5 pulgadas</w:t>
      </w:r>
      <w:r>
        <w:rPr>
          <w:color w:val="000000" w:themeColor="text1"/>
        </w:rPr>
        <w:t xml:space="preserve"> </w:t>
      </w:r>
      <w:r>
        <w:rPr>
          <w:b/>
          <w:bCs/>
          <w:color w:val="000000" w:themeColor="text1"/>
        </w:rPr>
        <w:t>(114 mm) de</w:t>
      </w:r>
      <w:r>
        <w:rPr>
          <w:color w:val="000000" w:themeColor="text1"/>
        </w:rPr>
        <w:t xml:space="preserve"> profundidad y un domo de </w:t>
      </w:r>
      <w:r>
        <w:rPr>
          <w:b/>
          <w:bCs/>
          <w:color w:val="000000" w:themeColor="text1"/>
        </w:rPr>
        <w:t>20 pulgadas x 20 pulgadas x 2 pulgadas</w:t>
      </w:r>
      <w:r>
        <w:rPr>
          <w:color w:val="000000" w:themeColor="text1"/>
        </w:rPr>
        <w:t xml:space="preserve"> </w:t>
      </w:r>
      <w:r>
        <w:rPr>
          <w:b/>
          <w:bCs/>
          <w:color w:val="000000" w:themeColor="text1"/>
        </w:rPr>
        <w:t>(508 mm x 508 mm x 51 mm)</w:t>
      </w:r>
      <w:r>
        <w:rPr>
          <w:color w:val="000000" w:themeColor="text1"/>
        </w:rPr>
        <w:t xml:space="preserve">. El modelo </w:t>
      </w:r>
      <w:r>
        <w:rPr>
          <w:b/>
          <w:bCs/>
          <w:color w:val="000000" w:themeColor="text1"/>
        </w:rPr>
        <w:t>52022-961 (ANTENNAS)</w:t>
      </w:r>
      <w:r>
        <w:rPr>
          <w:color w:val="000000" w:themeColor="text1"/>
        </w:rPr>
        <w:t xml:space="preserve"> tiene </w:t>
      </w:r>
      <w:r>
        <w:rPr>
          <w:b/>
          <w:bCs/>
          <w:color w:val="000000" w:themeColor="text1"/>
        </w:rPr>
        <w:t xml:space="preserve">6.5 pulgadas </w:t>
      </w:r>
      <w:r>
        <w:rPr>
          <w:color w:val="000000" w:themeColor="text1"/>
        </w:rPr>
        <w:t>(165 mm)</w:t>
      </w:r>
      <w:r>
        <w:rPr>
          <w:b/>
          <w:bCs/>
          <w:color w:val="000000" w:themeColor="text1"/>
        </w:rPr>
        <w:t xml:space="preserve"> de profundidad</w:t>
      </w:r>
      <w:r>
        <w:rPr>
          <w:color w:val="000000" w:themeColor="text1"/>
        </w:rPr>
        <w:t>.</w:t>
      </w:r>
    </w:p>
    <w:p w14:paraId="4CB8490E" w14:textId="7208793B" w:rsidR="00E534EA" w:rsidRPr="00DC3651" w:rsidRDefault="00B01315" w:rsidP="00DC3651">
      <w:pPr>
        <w:pStyle w:val="PR1"/>
        <w:numPr>
          <w:ilvl w:val="0"/>
          <w:numId w:val="0"/>
        </w:numPr>
        <w:rPr>
          <w:b/>
          <w:bCs/>
        </w:rPr>
      </w:pPr>
      <w:r>
        <w:rPr>
          <w:b/>
          <w:bCs/>
          <w:color w:val="000000" w:themeColor="text1"/>
        </w:rPr>
        <w:t xml:space="preserve">2.2 CONTENEDORES DE BLOQUEO PARA MONTAJE EN PARED Y EN ÁNGULO </w:t>
      </w:r>
      <w:r>
        <w:rPr>
          <w:b/>
          <w:bCs/>
          <w:color w:val="000000" w:themeColor="text1"/>
        </w:rPr>
        <w:lastRenderedPageBreak/>
        <w:t>RECTO</w:t>
      </w:r>
    </w:p>
    <w:p w14:paraId="5F666B39" w14:textId="1E74B734" w:rsidR="00A76EA9" w:rsidRPr="00DC3651" w:rsidRDefault="00A76EA9" w:rsidP="00E534EA">
      <w:pPr>
        <w:pStyle w:val="PR1"/>
        <w:numPr>
          <w:ilvl w:val="4"/>
          <w:numId w:val="14"/>
        </w:numPr>
      </w:pPr>
      <w:r>
        <w:t xml:space="preserve">Bases del diseño: Sujeto al cumplimiento de los requisitos, proporcionado por Chatsworth </w:t>
      </w:r>
      <w:proofErr w:type="spellStart"/>
      <w:r>
        <w:t>Products</w:t>
      </w:r>
      <w:proofErr w:type="spellEnd"/>
      <w:r>
        <w:t xml:space="preserve"> (CPI), contenedor inalámbrico celular, montaje en pared RMR en ángulo recto, modelo 52021-960</w:t>
      </w:r>
    </w:p>
    <w:p w14:paraId="0AC12F70" w14:textId="1CBA61C6" w:rsidR="00A76EA9" w:rsidRPr="00DC3651" w:rsidRDefault="00A76EA9" w:rsidP="00A76EA9">
      <w:pPr>
        <w:pStyle w:val="PR1"/>
        <w:numPr>
          <w:ilvl w:val="0"/>
          <w:numId w:val="0"/>
        </w:numPr>
      </w:pPr>
      <w:r>
        <w:t>1. Diseño: Soporte de montaje en ángulo recto en forma de cuña con cubierta para asegurar los puntos de acceso del nodo de radio de celda pequeña en las paredes. Diseñado para montar el punto de acceso al nodo de radio de celda pequeña en la orientación horizontal preferida. Se adapta a los puntos de acceso de nodo de radio de celda pequeña de la mayoría de los proveedores</w:t>
      </w:r>
    </w:p>
    <w:p w14:paraId="3045971B" w14:textId="77777777" w:rsidR="00A76EA9" w:rsidRPr="00DC3651" w:rsidRDefault="00A76EA9" w:rsidP="00A76EA9">
      <w:pPr>
        <w:pStyle w:val="PR1"/>
        <w:numPr>
          <w:ilvl w:val="0"/>
          <w:numId w:val="0"/>
        </w:numPr>
      </w:pPr>
      <w:r>
        <w:t>2. Orificios ciegos en dos paredes laterales para conectores de conducto de tamaño comercial de 1 pulgada.</w:t>
      </w:r>
    </w:p>
    <w:p w14:paraId="78C2C238" w14:textId="77777777" w:rsidR="00A76EA9" w:rsidRPr="00DC3651" w:rsidRDefault="00A76EA9" w:rsidP="00A76EA9">
      <w:pPr>
        <w:pStyle w:val="PR1"/>
        <w:numPr>
          <w:ilvl w:val="0"/>
          <w:numId w:val="0"/>
        </w:numPr>
      </w:pPr>
      <w:r>
        <w:t>3. Cubierta con bisagras para ocultar el cableado</w:t>
      </w:r>
    </w:p>
    <w:p w14:paraId="39ABC3AA" w14:textId="77777777" w:rsidR="00A76EA9" w:rsidRPr="00DC3651" w:rsidRDefault="00A76EA9" w:rsidP="00A76EA9">
      <w:pPr>
        <w:pStyle w:val="PR1"/>
        <w:numPr>
          <w:ilvl w:val="0"/>
          <w:numId w:val="0"/>
        </w:numPr>
      </w:pPr>
      <w:r>
        <w:t>6. Construcción: Acero con recubrimiento en polvo de calibre 20.</w:t>
      </w:r>
    </w:p>
    <w:p w14:paraId="3C623628" w14:textId="77777777" w:rsidR="00226620" w:rsidRPr="00C9257F" w:rsidRDefault="00A76EA9" w:rsidP="00DC3651">
      <w:pPr>
        <w:pStyle w:val="PR1"/>
        <w:numPr>
          <w:ilvl w:val="0"/>
          <w:numId w:val="0"/>
        </w:numPr>
        <w:rPr>
          <w:b/>
          <w:bCs/>
          <w:color w:val="000000" w:themeColor="text1"/>
        </w:rPr>
      </w:pPr>
      <w:r>
        <w:t xml:space="preserve">7. </w:t>
      </w:r>
      <w:r>
        <w:rPr>
          <w:color w:val="000000" w:themeColor="text1"/>
        </w:rPr>
        <w:t xml:space="preserve">Tamaño: </w:t>
      </w:r>
      <w:r>
        <w:rPr>
          <w:b/>
          <w:bCs/>
          <w:color w:val="000000" w:themeColor="text1"/>
        </w:rPr>
        <w:t>8.5 pulgadas (216 mm) de alto por 20.9 pulgadas (531 mm) por 14 pulgadas (356 mm) de profundidad</w:t>
      </w:r>
    </w:p>
    <w:p w14:paraId="2A8928E9" w14:textId="5BAAC08F" w:rsidR="004A4C52" w:rsidRPr="00C9257F" w:rsidRDefault="00FA562C" w:rsidP="00DC3651">
      <w:pPr>
        <w:pStyle w:val="PR1"/>
        <w:numPr>
          <w:ilvl w:val="0"/>
          <w:numId w:val="0"/>
        </w:numPr>
        <w:rPr>
          <w:b/>
          <w:bCs/>
          <w:color w:val="000000" w:themeColor="text1"/>
        </w:rPr>
      </w:pPr>
      <w:r>
        <w:rPr>
          <w:b/>
          <w:bCs/>
          <w:color w:val="000000" w:themeColor="text1"/>
        </w:rPr>
        <w:t>2.3 CONTENEDORES RMR® DE MONTAJE EN PARED</w:t>
      </w:r>
    </w:p>
    <w:p w14:paraId="6AF33075" w14:textId="2D3F30F8" w:rsidR="004A4C52" w:rsidRPr="00C9257F" w:rsidRDefault="00CD29F4" w:rsidP="00CD29F4">
      <w:pPr>
        <w:pStyle w:val="PR1"/>
        <w:numPr>
          <w:ilvl w:val="0"/>
          <w:numId w:val="0"/>
        </w:numPr>
        <w:rPr>
          <w:color w:val="000000" w:themeColor="text1"/>
        </w:rPr>
      </w:pPr>
      <w:r>
        <w:rPr>
          <w:color w:val="000000" w:themeColor="text1"/>
        </w:rPr>
        <w:t xml:space="preserve">A. Bases del diseño: Sujeto al cumplimiento de los requisitos, proporcionado por Chatsworth </w:t>
      </w:r>
      <w:proofErr w:type="spellStart"/>
      <w:r>
        <w:rPr>
          <w:color w:val="000000" w:themeColor="text1"/>
        </w:rPr>
        <w:t>Products</w:t>
      </w:r>
      <w:proofErr w:type="spellEnd"/>
      <w:r>
        <w:rPr>
          <w:color w:val="000000" w:themeColor="text1"/>
        </w:rPr>
        <w:t xml:space="preserve"> (CPI), contenedor inalámbrico celular, contenedor RMR de montaje en pared, modelo </w:t>
      </w:r>
      <w:r>
        <w:rPr>
          <w:b/>
          <w:bCs/>
          <w:color w:val="000000" w:themeColor="text1"/>
        </w:rPr>
        <w:t>52020-G00</w:t>
      </w:r>
    </w:p>
    <w:p w14:paraId="69BF6AB1" w14:textId="3BC672D4" w:rsidR="00FA6F41" w:rsidRPr="00C9257F" w:rsidRDefault="004A4C52" w:rsidP="004A4C52">
      <w:pPr>
        <w:pStyle w:val="PR1"/>
        <w:numPr>
          <w:ilvl w:val="0"/>
          <w:numId w:val="0"/>
        </w:numPr>
        <w:rPr>
          <w:color w:val="000000" w:themeColor="text1"/>
        </w:rPr>
      </w:pPr>
      <w:r>
        <w:rPr>
          <w:color w:val="000000" w:themeColor="text1"/>
        </w:rPr>
        <w:t xml:space="preserve">1. Diseño: Contenedor industrial de montaje en pared para puntos de acceso, antenas y </w:t>
      </w:r>
      <w:proofErr w:type="spellStart"/>
      <w:r>
        <w:rPr>
          <w:color w:val="000000" w:themeColor="text1"/>
        </w:rPr>
        <w:t>switches</w:t>
      </w:r>
      <w:proofErr w:type="spellEnd"/>
      <w:r>
        <w:rPr>
          <w:color w:val="000000" w:themeColor="text1"/>
        </w:rPr>
        <w:t xml:space="preserve"> de nodos de radio de celda pequeña con clasificación específica para brindar protección NEMA Tipo 4 e IP 66. </w:t>
      </w:r>
    </w:p>
    <w:p w14:paraId="4FF87320" w14:textId="4627F161" w:rsidR="004A4C52" w:rsidRPr="00C9257F" w:rsidRDefault="004A4C52" w:rsidP="004A4C52">
      <w:pPr>
        <w:pStyle w:val="PR1"/>
        <w:numPr>
          <w:ilvl w:val="0"/>
          <w:numId w:val="0"/>
        </w:numPr>
        <w:rPr>
          <w:color w:val="000000" w:themeColor="text1"/>
        </w:rPr>
      </w:pPr>
      <w:r>
        <w:rPr>
          <w:color w:val="000000" w:themeColor="text1"/>
        </w:rPr>
        <w:t xml:space="preserve">2. La clavija instalada en el orificio superior mantiene la clasificación NEMA Tipo 4 del contenedor si no se instala una antena; el orificio tiene un diámetro de </w:t>
      </w:r>
      <w:r>
        <w:rPr>
          <w:b/>
          <w:bCs/>
          <w:color w:val="000000" w:themeColor="text1"/>
        </w:rPr>
        <w:t>1 pulgada (25.4 mm).</w:t>
      </w:r>
    </w:p>
    <w:p w14:paraId="2A68F337" w14:textId="7D62CA4C" w:rsidR="00487E67" w:rsidRPr="00C9257F" w:rsidRDefault="00487E67" w:rsidP="00487E67">
      <w:pPr>
        <w:pStyle w:val="PR1"/>
        <w:numPr>
          <w:ilvl w:val="0"/>
          <w:numId w:val="0"/>
        </w:numPr>
        <w:rPr>
          <w:color w:val="000000" w:themeColor="text1"/>
        </w:rPr>
      </w:pPr>
      <w:r>
        <w:rPr>
          <w:color w:val="000000" w:themeColor="text1"/>
        </w:rPr>
        <w:t xml:space="preserve">3. Dimensiones: </w:t>
      </w:r>
      <w:r>
        <w:rPr>
          <w:b/>
          <w:bCs/>
          <w:color w:val="000000" w:themeColor="text1"/>
        </w:rPr>
        <w:t>31.9 pulgadas (810.3 mm) de alto por 19.9 pulgadas (505.5 mm) de ancho por 7.9 pulgadas (200.7 mm) de profundidad</w:t>
      </w:r>
    </w:p>
    <w:p w14:paraId="1A03C722" w14:textId="1D6714D7" w:rsidR="00980A56" w:rsidRPr="00C9257F" w:rsidRDefault="00487E67" w:rsidP="00487E67">
      <w:pPr>
        <w:pStyle w:val="PR1"/>
        <w:numPr>
          <w:ilvl w:val="0"/>
          <w:numId w:val="0"/>
        </w:numPr>
        <w:rPr>
          <w:rStyle w:val="Strong"/>
          <w:color w:val="000000" w:themeColor="text1"/>
        </w:rPr>
      </w:pPr>
      <w:r>
        <w:rPr>
          <w:color w:val="000000" w:themeColor="text1"/>
        </w:rPr>
        <w:t>4. Área utilizable del equipo:</w:t>
      </w:r>
      <w:r>
        <w:rPr>
          <w:rStyle w:val="Strong"/>
          <w:color w:val="000000" w:themeColor="text1"/>
        </w:rPr>
        <w:t xml:space="preserve"> Tamaño máximo del equipo: 28 pulgadas (711.2 mm) de alto por 18.4 pulgadas (467.4 mm) de ancho x 6.6 pulgadas (167.6 mm) de profundidad</w:t>
      </w:r>
    </w:p>
    <w:p w14:paraId="2B2AC0CD" w14:textId="63324123" w:rsidR="006E7D92" w:rsidRPr="00C9257F" w:rsidRDefault="006E7D92" w:rsidP="00487E67">
      <w:pPr>
        <w:pStyle w:val="PR1"/>
        <w:numPr>
          <w:ilvl w:val="0"/>
          <w:numId w:val="0"/>
        </w:numPr>
        <w:rPr>
          <w:rStyle w:val="Strong"/>
          <w:b w:val="0"/>
          <w:bCs w:val="0"/>
          <w:color w:val="000000" w:themeColor="text1"/>
        </w:rPr>
      </w:pPr>
      <w:r>
        <w:rPr>
          <w:rStyle w:val="Strong"/>
          <w:color w:val="000000" w:themeColor="text1"/>
        </w:rPr>
        <w:t xml:space="preserve">5. </w:t>
      </w:r>
      <w:r>
        <w:rPr>
          <w:rStyle w:val="Strong"/>
          <w:b w:val="0"/>
          <w:bCs w:val="0"/>
          <w:color w:val="000000" w:themeColor="text1"/>
        </w:rPr>
        <w:t xml:space="preserve">Aberturas de cables: </w:t>
      </w:r>
      <w:r>
        <w:rPr>
          <w:rStyle w:val="Strong"/>
          <w:color w:val="000000" w:themeColor="text1"/>
        </w:rPr>
        <w:t>(1) orificio perforado de 1 pulgada (25.4 mm) para el montaje y el cableado de la antena.</w:t>
      </w:r>
    </w:p>
    <w:p w14:paraId="07D58697" w14:textId="3CCC0B93" w:rsidR="004A4C52" w:rsidRPr="00C9257F" w:rsidRDefault="006E7D92" w:rsidP="004A4C52">
      <w:pPr>
        <w:pStyle w:val="PR1"/>
        <w:numPr>
          <w:ilvl w:val="0"/>
          <w:numId w:val="0"/>
        </w:numPr>
        <w:rPr>
          <w:color w:val="000000" w:themeColor="text1"/>
        </w:rPr>
      </w:pPr>
      <w:r>
        <w:rPr>
          <w:color w:val="000000" w:themeColor="text1"/>
        </w:rPr>
        <w:t>6. Construcción: Acero templado soldado.</w:t>
      </w:r>
    </w:p>
    <w:p w14:paraId="644B0E28" w14:textId="366D9F5F" w:rsidR="005F66BF" w:rsidRPr="00C9257F" w:rsidRDefault="006E7D92" w:rsidP="005F66BF">
      <w:pPr>
        <w:pStyle w:val="PR1"/>
        <w:numPr>
          <w:ilvl w:val="0"/>
          <w:numId w:val="0"/>
        </w:numPr>
        <w:rPr>
          <w:color w:val="000000" w:themeColor="text1"/>
        </w:rPr>
      </w:pPr>
      <w:r>
        <w:rPr>
          <w:color w:val="000000" w:themeColor="text1"/>
        </w:rPr>
        <w:t xml:space="preserve">7. Capacidad de carga: </w:t>
      </w:r>
      <w:r>
        <w:rPr>
          <w:rStyle w:val="Strong"/>
          <w:color w:val="000000" w:themeColor="text1"/>
        </w:rPr>
        <w:t>200 lb (90.7 kg)</w:t>
      </w:r>
    </w:p>
    <w:p w14:paraId="03F6081C" w14:textId="45E09566" w:rsidR="004A4C52" w:rsidRPr="00C9257F" w:rsidRDefault="006E7D92" w:rsidP="00A76EA9">
      <w:pPr>
        <w:pStyle w:val="PR1"/>
        <w:numPr>
          <w:ilvl w:val="0"/>
          <w:numId w:val="0"/>
        </w:numPr>
        <w:rPr>
          <w:color w:val="000000" w:themeColor="text1"/>
        </w:rPr>
      </w:pPr>
      <w:r>
        <w:rPr>
          <w:color w:val="000000" w:themeColor="text1"/>
        </w:rPr>
        <w:t xml:space="preserve">8. Acabado y color: </w:t>
      </w:r>
      <w:r>
        <w:rPr>
          <w:rStyle w:val="Strong"/>
          <w:b w:val="0"/>
          <w:bCs w:val="0"/>
          <w:color w:val="000000" w:themeColor="text1"/>
        </w:rPr>
        <w:t>Pintura pulverizada de color gris martillo RAL 7035.</w:t>
      </w:r>
    </w:p>
    <w:p w14:paraId="741B3AFE" w14:textId="34F66A0B" w:rsidR="00851943" w:rsidRPr="00C9257F" w:rsidRDefault="00FA562C" w:rsidP="00851943">
      <w:pPr>
        <w:pStyle w:val="PR1"/>
        <w:numPr>
          <w:ilvl w:val="0"/>
          <w:numId w:val="0"/>
        </w:numPr>
        <w:rPr>
          <w:b/>
          <w:bCs/>
          <w:color w:val="000000" w:themeColor="text1"/>
        </w:rPr>
      </w:pPr>
      <w:r>
        <w:rPr>
          <w:b/>
          <w:bCs/>
          <w:color w:val="000000" w:themeColor="text1"/>
        </w:rPr>
        <w:t>2.4 BOLARDOS INALÁMBRICOS</w:t>
      </w:r>
    </w:p>
    <w:p w14:paraId="18448AD5" w14:textId="69C31BAA" w:rsidR="00851943" w:rsidRPr="00C9257F" w:rsidRDefault="00851943" w:rsidP="00F33B1E">
      <w:pPr>
        <w:pStyle w:val="PR1"/>
        <w:numPr>
          <w:ilvl w:val="0"/>
          <w:numId w:val="0"/>
        </w:numPr>
        <w:rPr>
          <w:color w:val="000000" w:themeColor="text1"/>
        </w:rPr>
      </w:pPr>
      <w:r>
        <w:rPr>
          <w:color w:val="000000" w:themeColor="text1"/>
        </w:rPr>
        <w:t xml:space="preserve">A. Base de diseño: Sujeto al cumplimiento de los requisitos, proporcionado por Chatsworth </w:t>
      </w:r>
      <w:proofErr w:type="spellStart"/>
      <w:r>
        <w:rPr>
          <w:color w:val="000000" w:themeColor="text1"/>
        </w:rPr>
        <w:lastRenderedPageBreak/>
        <w:t>Products</w:t>
      </w:r>
      <w:proofErr w:type="spellEnd"/>
      <w:r>
        <w:rPr>
          <w:color w:val="000000" w:themeColor="text1"/>
        </w:rPr>
        <w:t xml:space="preserve"> (CPI), contenedor inalámbrico celular, bolardo RMR, </w:t>
      </w:r>
      <w:r>
        <w:rPr>
          <w:b/>
          <w:bCs/>
          <w:color w:val="000000" w:themeColor="text1"/>
        </w:rPr>
        <w:t>modelo 52023</w:t>
      </w:r>
    </w:p>
    <w:p w14:paraId="2075AFA4" w14:textId="791517C9" w:rsidR="00851943" w:rsidRPr="00C9257F" w:rsidRDefault="00851943" w:rsidP="006A6F34">
      <w:pPr>
        <w:pStyle w:val="PR1"/>
        <w:numPr>
          <w:ilvl w:val="0"/>
          <w:numId w:val="0"/>
        </w:numPr>
        <w:rPr>
          <w:color w:val="000000" w:themeColor="text1"/>
        </w:rPr>
      </w:pPr>
      <w:r>
        <w:rPr>
          <w:color w:val="000000" w:themeColor="text1"/>
        </w:rPr>
        <w:t>1. Diseño: Bolardo cilíndrico de fibra de vidrio. Protege el punto de acceso del nodo de radio de celda pequeña y las antenas en espacios públicos al aire libre. Se utiliza para instalaciones de voltaje de línea de CA permanente y bajo voltaje. Soporte de equipo interior para montar antenas y puntos de acceso de nodo de radio de celda pequeña.</w:t>
      </w:r>
    </w:p>
    <w:p w14:paraId="0376144E" w14:textId="2B5F9FD7" w:rsidR="00851943" w:rsidRPr="00DC3651" w:rsidRDefault="00851943" w:rsidP="006A6F34">
      <w:pPr>
        <w:pStyle w:val="PR1"/>
        <w:numPr>
          <w:ilvl w:val="0"/>
          <w:numId w:val="0"/>
        </w:numPr>
      </w:pPr>
      <w:r>
        <w:rPr>
          <w:color w:val="000000" w:themeColor="text1"/>
        </w:rPr>
        <w:t>2. Rendimiento: Diseñado para proteger el equipo</w:t>
      </w:r>
      <w:r>
        <w:t xml:space="preserve"> de la manipulación, el abuso y la intemperie. Rendimiento NEMA 3R para entornos interiores/exteriores.</w:t>
      </w:r>
    </w:p>
    <w:p w14:paraId="60733C68" w14:textId="5623E4AC" w:rsidR="00851943" w:rsidRPr="00C9257F" w:rsidRDefault="00851943" w:rsidP="006A6F34">
      <w:pPr>
        <w:pStyle w:val="PR1"/>
        <w:numPr>
          <w:ilvl w:val="0"/>
          <w:numId w:val="0"/>
        </w:numPr>
        <w:rPr>
          <w:color w:val="000000" w:themeColor="text1"/>
        </w:rPr>
      </w:pPr>
      <w:r>
        <w:rPr>
          <w:color w:val="000000" w:themeColor="text1"/>
        </w:rPr>
        <w:t>3. Anclajes a pedestal de hormigón preinstalado. El cableado se realiza a través de un conducto en pedestal.</w:t>
      </w:r>
    </w:p>
    <w:p w14:paraId="3FE1583E" w14:textId="1769E639" w:rsidR="00851943" w:rsidRPr="00C9257F" w:rsidRDefault="00851943" w:rsidP="006A6F34">
      <w:pPr>
        <w:pStyle w:val="PR1"/>
        <w:numPr>
          <w:ilvl w:val="0"/>
          <w:numId w:val="0"/>
        </w:numPr>
        <w:rPr>
          <w:color w:val="000000" w:themeColor="text1"/>
        </w:rPr>
      </w:pPr>
      <w:r>
        <w:rPr>
          <w:color w:val="000000" w:themeColor="text1"/>
        </w:rPr>
        <w:t xml:space="preserve">4. Disponible en </w:t>
      </w:r>
      <w:r>
        <w:rPr>
          <w:b/>
          <w:color w:val="000000" w:themeColor="text1"/>
        </w:rPr>
        <w:t>6</w:t>
      </w:r>
      <w:r>
        <w:rPr>
          <w:color w:val="000000" w:themeColor="text1"/>
        </w:rPr>
        <w:t> colores estándar:</w:t>
      </w:r>
    </w:p>
    <w:p w14:paraId="6A63C1F2" w14:textId="3CFD6A63" w:rsidR="00851943" w:rsidRPr="00C9257F" w:rsidRDefault="00851943" w:rsidP="006A6F34">
      <w:pPr>
        <w:pStyle w:val="PR1"/>
        <w:numPr>
          <w:ilvl w:val="0"/>
          <w:numId w:val="0"/>
        </w:numPr>
        <w:rPr>
          <w:color w:val="000000" w:themeColor="text1"/>
        </w:rPr>
      </w:pPr>
      <w:r>
        <w:rPr>
          <w:color w:val="000000" w:themeColor="text1"/>
        </w:rPr>
        <w:t>5. Incluye base de anclaje, soporte de equipo, herraje para sujetar antenas y puntos de acceso de notas de radio de celda pequeña. Cubierta de perno y herrajes a prueba de manipulaciones.</w:t>
      </w:r>
    </w:p>
    <w:p w14:paraId="3FD4C5C7" w14:textId="0C90FEB2" w:rsidR="00851943" w:rsidRPr="00C9257F" w:rsidRDefault="00851943" w:rsidP="006A6F34">
      <w:pPr>
        <w:pStyle w:val="PR1"/>
        <w:numPr>
          <w:ilvl w:val="0"/>
          <w:numId w:val="0"/>
        </w:numPr>
        <w:rPr>
          <w:color w:val="000000" w:themeColor="text1"/>
        </w:rPr>
      </w:pPr>
      <w:r>
        <w:rPr>
          <w:color w:val="000000" w:themeColor="text1"/>
        </w:rPr>
        <w:t xml:space="preserve">6. Construcción: Bolardo compuesto de fibra de vidrio fundido centrífugo de </w:t>
      </w:r>
      <w:r>
        <w:rPr>
          <w:b/>
          <w:bCs/>
          <w:color w:val="000000" w:themeColor="text1"/>
        </w:rPr>
        <w:t>1/4 de pulgada (6.4 mm)</w:t>
      </w:r>
      <w:r>
        <w:rPr>
          <w:color w:val="000000" w:themeColor="text1"/>
        </w:rPr>
        <w:t xml:space="preserve"> de espesor (65 % vidrio, 35 % resina). La pintura es resistente a los rayos UV y a los productos químicos de limpieza. Base de anclaje de acero recubierto de zinc, de </w:t>
      </w:r>
      <w:r>
        <w:rPr>
          <w:b/>
          <w:color w:val="000000" w:themeColor="text1"/>
        </w:rPr>
        <w:t>1/4 de pulgada (6.4 mm)</w:t>
      </w:r>
      <w:r>
        <w:rPr>
          <w:color w:val="000000" w:themeColor="text1"/>
        </w:rPr>
        <w:t xml:space="preserve"> de espesor. Soporte para el montaje de equipos de fibra de vidrio. Cubierta de perno de plástico ABS, pintada a juego con el bolardo.</w:t>
      </w:r>
    </w:p>
    <w:p w14:paraId="7AE55230" w14:textId="4D611632" w:rsidR="00851943" w:rsidRPr="00C9257F" w:rsidRDefault="00851943" w:rsidP="006A6F34">
      <w:pPr>
        <w:pStyle w:val="PR1"/>
        <w:numPr>
          <w:ilvl w:val="0"/>
          <w:numId w:val="0"/>
        </w:numPr>
        <w:rPr>
          <w:color w:val="000000" w:themeColor="text1"/>
        </w:rPr>
      </w:pPr>
      <w:r>
        <w:rPr>
          <w:color w:val="000000" w:themeColor="text1"/>
        </w:rPr>
        <w:t xml:space="preserve">7. Tamaño: </w:t>
      </w:r>
      <w:r>
        <w:rPr>
          <w:b/>
          <w:bCs/>
          <w:color w:val="000000" w:themeColor="text1"/>
        </w:rPr>
        <w:t>57 pulgadas (1384 mm)</w:t>
      </w:r>
      <w:r>
        <w:rPr>
          <w:color w:val="000000" w:themeColor="text1"/>
        </w:rPr>
        <w:t xml:space="preserve"> sobre el nivel del suelo, </w:t>
      </w:r>
      <w:r>
        <w:rPr>
          <w:b/>
          <w:bCs/>
          <w:color w:val="000000" w:themeColor="text1"/>
        </w:rPr>
        <w:t xml:space="preserve">12.5 pulgadas (318 mm) </w:t>
      </w:r>
      <w:r>
        <w:rPr>
          <w:color w:val="000000" w:themeColor="text1"/>
        </w:rPr>
        <w:t xml:space="preserve">de diámetro interior. La base del ancla es de </w:t>
      </w:r>
      <w:r>
        <w:rPr>
          <w:b/>
          <w:bCs/>
          <w:color w:val="000000" w:themeColor="text1"/>
        </w:rPr>
        <w:t>15.3 pulgadas (388.6 mm)</w:t>
      </w:r>
      <w:r>
        <w:rPr>
          <w:color w:val="000000" w:themeColor="text1"/>
        </w:rPr>
        <w:t xml:space="preserve"> por </w:t>
      </w:r>
      <w:r>
        <w:rPr>
          <w:b/>
          <w:bCs/>
          <w:color w:val="000000" w:themeColor="text1"/>
        </w:rPr>
        <w:t>15.5 pulgadas</w:t>
      </w:r>
      <w:r>
        <w:rPr>
          <w:color w:val="000000" w:themeColor="text1"/>
        </w:rPr>
        <w:t xml:space="preserve"> </w:t>
      </w:r>
      <w:r>
        <w:rPr>
          <w:b/>
          <w:bCs/>
          <w:color w:val="000000" w:themeColor="text1"/>
        </w:rPr>
        <w:t>(393.7 mm).</w:t>
      </w:r>
    </w:p>
    <w:p w14:paraId="04F55B3E" w14:textId="40682DD2" w:rsidR="00851943" w:rsidRPr="00C9257F" w:rsidRDefault="00851943" w:rsidP="00851943">
      <w:pPr>
        <w:pStyle w:val="PR1"/>
        <w:numPr>
          <w:ilvl w:val="0"/>
          <w:numId w:val="0"/>
        </w:numPr>
        <w:rPr>
          <w:color w:val="000000" w:themeColor="text1"/>
        </w:rPr>
      </w:pPr>
      <w:r>
        <w:rPr>
          <w:color w:val="000000" w:themeColor="text1"/>
        </w:rPr>
        <w:t xml:space="preserve">8. Peso: </w:t>
      </w:r>
      <w:r>
        <w:rPr>
          <w:b/>
          <w:bCs/>
          <w:color w:val="000000" w:themeColor="text1"/>
        </w:rPr>
        <w:t>73 </w:t>
      </w:r>
      <w:proofErr w:type="spellStart"/>
      <w:r>
        <w:rPr>
          <w:b/>
          <w:bCs/>
          <w:color w:val="000000" w:themeColor="text1"/>
        </w:rPr>
        <w:t>lbs</w:t>
      </w:r>
      <w:proofErr w:type="spellEnd"/>
      <w:r>
        <w:rPr>
          <w:b/>
          <w:bCs/>
          <w:color w:val="000000" w:themeColor="text1"/>
        </w:rPr>
        <w:t>.</w:t>
      </w:r>
      <w:r>
        <w:rPr>
          <w:color w:val="000000" w:themeColor="text1"/>
        </w:rPr>
        <w:t xml:space="preserve"> </w:t>
      </w:r>
      <w:r>
        <w:rPr>
          <w:b/>
          <w:bCs/>
          <w:color w:val="000000" w:themeColor="text1"/>
        </w:rPr>
        <w:t>(33.1 kg)</w:t>
      </w:r>
    </w:p>
    <w:p w14:paraId="21E273E0" w14:textId="4A8ED2A3" w:rsidR="005D5284" w:rsidRPr="00C9257F" w:rsidRDefault="005E1842" w:rsidP="00DC3651">
      <w:pPr>
        <w:pStyle w:val="PR1"/>
        <w:numPr>
          <w:ilvl w:val="0"/>
          <w:numId w:val="0"/>
        </w:numPr>
        <w:rPr>
          <w:b/>
          <w:bCs/>
          <w:color w:val="000000" w:themeColor="text1"/>
        </w:rPr>
      </w:pPr>
      <w:r>
        <w:rPr>
          <w:b/>
          <w:bCs/>
          <w:color w:val="000000" w:themeColor="text1"/>
        </w:rPr>
        <w:t>2.5 CONTENEDORES INALÁMBRICOS</w:t>
      </w:r>
    </w:p>
    <w:p w14:paraId="5C8817AF" w14:textId="0AE46987" w:rsidR="005D5284" w:rsidRPr="00C9257F" w:rsidRDefault="005D5284" w:rsidP="00E47D35">
      <w:pPr>
        <w:pStyle w:val="PR1"/>
        <w:numPr>
          <w:ilvl w:val="0"/>
          <w:numId w:val="15"/>
        </w:numPr>
        <w:rPr>
          <w:color w:val="000000" w:themeColor="text1"/>
        </w:rPr>
      </w:pPr>
      <w:r>
        <w:rPr>
          <w:color w:val="000000" w:themeColor="text1"/>
        </w:rPr>
        <w:t xml:space="preserve">Producto de base de diseño: Sujeto al cumplimiento de los requisitos, proporcionado por Chatsworth </w:t>
      </w:r>
      <w:proofErr w:type="spellStart"/>
      <w:r>
        <w:rPr>
          <w:color w:val="000000" w:themeColor="text1"/>
        </w:rPr>
        <w:t>Products</w:t>
      </w:r>
      <w:proofErr w:type="spellEnd"/>
      <w:r>
        <w:rPr>
          <w:color w:val="000000" w:themeColor="text1"/>
        </w:rPr>
        <w:t xml:space="preserve"> (CPI); contenedores inalámbricos celulares, contenedores RMR para montaje en pared inalámbricos, modelos; AAT-MWME-P, AAT-WMESG-P, AAT-WME-P</w:t>
      </w:r>
    </w:p>
    <w:p w14:paraId="3AB05D8F" w14:textId="387AA4A9" w:rsidR="00A03D79" w:rsidRPr="00C9257F" w:rsidRDefault="00A03D79" w:rsidP="00DC3651">
      <w:pPr>
        <w:pStyle w:val="PR1"/>
        <w:numPr>
          <w:ilvl w:val="1"/>
          <w:numId w:val="15"/>
        </w:numPr>
        <w:rPr>
          <w:color w:val="000000" w:themeColor="text1"/>
        </w:rPr>
      </w:pPr>
      <w:r>
        <w:rPr>
          <w:color w:val="000000" w:themeColor="text1"/>
        </w:rPr>
        <w:t>Diseño: Contenedor rectangular de fibra de vidrio compuesto. Diseñado para proteger antenas y puntos de acceso de nodo de radio de celda pequeña en espacios públicos al aire libre.</w:t>
      </w:r>
    </w:p>
    <w:p w14:paraId="0B7E76FF" w14:textId="77777777" w:rsidR="00A7598C" w:rsidRPr="00C9257F" w:rsidRDefault="00A03D79" w:rsidP="0058715F">
      <w:pPr>
        <w:pStyle w:val="PR1"/>
        <w:numPr>
          <w:ilvl w:val="1"/>
          <w:numId w:val="15"/>
        </w:numPr>
        <w:rPr>
          <w:color w:val="000000" w:themeColor="text1"/>
        </w:rPr>
      </w:pPr>
      <w:r>
        <w:rPr>
          <w:color w:val="000000" w:themeColor="text1"/>
        </w:rPr>
        <w:t xml:space="preserve">Rendimiento: Diseñado para proteger el equipo de la manipulación, el abuso y la intemperie. Rendimiento NEMA 4X para entornos interiores/exteriores. La fibra de vidrio es prácticamente transparente a las señales inalámbricas. </w:t>
      </w:r>
    </w:p>
    <w:p w14:paraId="6C0182F1" w14:textId="6FFB01BC" w:rsidR="005D5284" w:rsidRPr="00C9257F" w:rsidRDefault="005D5284" w:rsidP="0058715F">
      <w:pPr>
        <w:pStyle w:val="PR1"/>
        <w:numPr>
          <w:ilvl w:val="1"/>
          <w:numId w:val="15"/>
        </w:numPr>
        <w:rPr>
          <w:color w:val="000000" w:themeColor="text1"/>
        </w:rPr>
      </w:pPr>
      <w:r>
        <w:rPr>
          <w:color w:val="000000" w:themeColor="text1"/>
        </w:rPr>
        <w:t>Material:  poliéster reforzado con fibra de vidrio.</w:t>
      </w:r>
    </w:p>
    <w:p w14:paraId="110946BF" w14:textId="7B1D2EBD" w:rsidR="005D5284" w:rsidRPr="00C9257F" w:rsidRDefault="005D5284" w:rsidP="0058715F">
      <w:pPr>
        <w:pStyle w:val="PR1"/>
        <w:numPr>
          <w:ilvl w:val="1"/>
          <w:numId w:val="15"/>
        </w:numPr>
        <w:rPr>
          <w:color w:val="000000" w:themeColor="text1"/>
        </w:rPr>
      </w:pPr>
      <w:r>
        <w:rPr>
          <w:color w:val="000000" w:themeColor="text1"/>
        </w:rPr>
        <w:t>Puerta de acceso con bisagra.</w:t>
      </w:r>
    </w:p>
    <w:p w14:paraId="2996F29C" w14:textId="7434F6B1" w:rsidR="00E03A26" w:rsidRPr="00C9257F" w:rsidRDefault="00E03A26" w:rsidP="0058715F">
      <w:pPr>
        <w:pStyle w:val="PR1"/>
        <w:numPr>
          <w:ilvl w:val="1"/>
          <w:numId w:val="15"/>
        </w:numPr>
        <w:rPr>
          <w:color w:val="000000" w:themeColor="text1"/>
        </w:rPr>
      </w:pPr>
      <w:r>
        <w:rPr>
          <w:color w:val="000000" w:themeColor="text1"/>
        </w:rPr>
        <w:t>Cerrojo(s) de acero inoxidable que acepta candados.</w:t>
      </w:r>
    </w:p>
    <w:p w14:paraId="26144BB3" w14:textId="1374A870" w:rsidR="00A03D79" w:rsidRPr="00C9257F" w:rsidRDefault="00E03A26" w:rsidP="00FC2489">
      <w:pPr>
        <w:pStyle w:val="PR1"/>
        <w:numPr>
          <w:ilvl w:val="1"/>
          <w:numId w:val="15"/>
        </w:numPr>
        <w:rPr>
          <w:color w:val="000000" w:themeColor="text1"/>
        </w:rPr>
      </w:pPr>
      <w:r>
        <w:rPr>
          <w:color w:val="000000" w:themeColor="text1"/>
        </w:rPr>
        <w:t>Placa de montaje interior extraíble.</w:t>
      </w:r>
    </w:p>
    <w:p w14:paraId="78927056" w14:textId="70A9AA68" w:rsidR="00A65D7F" w:rsidRPr="00C9257F" w:rsidRDefault="005D5284" w:rsidP="00A65D7F">
      <w:pPr>
        <w:pStyle w:val="PR1"/>
        <w:numPr>
          <w:ilvl w:val="1"/>
          <w:numId w:val="15"/>
        </w:numPr>
        <w:rPr>
          <w:color w:val="000000" w:themeColor="text1"/>
        </w:rPr>
      </w:pPr>
      <w:r>
        <w:rPr>
          <w:color w:val="000000" w:themeColor="text1"/>
        </w:rPr>
        <w:lastRenderedPageBreak/>
        <w:t xml:space="preserve">Color: </w:t>
      </w:r>
      <w:r>
        <w:rPr>
          <w:b/>
          <w:bCs/>
          <w:color w:val="000000" w:themeColor="text1"/>
        </w:rPr>
        <w:t>[Gris]</w:t>
      </w:r>
      <w:r>
        <w:rPr>
          <w:color w:val="000000" w:themeColor="text1"/>
        </w:rPr>
        <w:t xml:space="preserve"> [con ventana acrílica de bronce tintado opcional].</w:t>
      </w:r>
    </w:p>
    <w:p w14:paraId="68CFFF7C" w14:textId="6FF72D51" w:rsidR="00A65D7F" w:rsidRPr="00C9257F" w:rsidRDefault="005D5284" w:rsidP="00A65D7F">
      <w:pPr>
        <w:pStyle w:val="PR1"/>
        <w:numPr>
          <w:ilvl w:val="1"/>
          <w:numId w:val="15"/>
        </w:numPr>
        <w:rPr>
          <w:color w:val="000000" w:themeColor="text1"/>
        </w:rPr>
      </w:pPr>
      <w:r>
        <w:rPr>
          <w:color w:val="000000" w:themeColor="text1"/>
        </w:rPr>
        <w:t xml:space="preserve">Tamaño:  </w:t>
      </w:r>
    </w:p>
    <w:p w14:paraId="6B529C57" w14:textId="74144CFC" w:rsidR="005D5284" w:rsidRPr="00C9257F" w:rsidRDefault="005D5284" w:rsidP="003D48C4">
      <w:pPr>
        <w:pStyle w:val="PR1"/>
        <w:numPr>
          <w:ilvl w:val="0"/>
          <w:numId w:val="0"/>
        </w:numPr>
        <w:ind w:left="1800"/>
        <w:rPr>
          <w:color w:val="000000" w:themeColor="text1"/>
        </w:rPr>
      </w:pPr>
      <w:r>
        <w:rPr>
          <w:color w:val="000000" w:themeColor="text1"/>
        </w:rPr>
        <w:t xml:space="preserve">Montado en la pared [con ventana de puerta tintada opcional], </w:t>
      </w:r>
      <w:r>
        <w:rPr>
          <w:b/>
          <w:bCs/>
          <w:color w:val="000000" w:themeColor="text1"/>
        </w:rPr>
        <w:t>15.5 pulgadas (393.7 mm) de alto por 13.5 pulgadas (342.9 mm) de ancho por 6 pulgadas (152.4 mm) de profundidad, 5 pulgadas (127 mm) de profundidad</w:t>
      </w:r>
      <w:r>
        <w:rPr>
          <w:color w:val="000000" w:themeColor="text1"/>
        </w:rPr>
        <w:t xml:space="preserve"> interior, </w:t>
      </w:r>
      <w:r>
        <w:rPr>
          <w:b/>
          <w:bCs/>
          <w:color w:val="000000" w:themeColor="text1"/>
        </w:rPr>
        <w:t>13-1/4 pulgadas</w:t>
      </w:r>
      <w:r>
        <w:rPr>
          <w:color w:val="000000" w:themeColor="text1"/>
        </w:rPr>
        <w:t xml:space="preserve"> </w:t>
      </w:r>
      <w:r>
        <w:rPr>
          <w:b/>
          <w:bCs/>
          <w:color w:val="000000" w:themeColor="text1"/>
        </w:rPr>
        <w:t>(336.6 mm) de</w:t>
      </w:r>
      <w:r>
        <w:rPr>
          <w:color w:val="000000" w:themeColor="text1"/>
        </w:rPr>
        <w:t xml:space="preserve"> largo por </w:t>
      </w:r>
      <w:r>
        <w:rPr>
          <w:b/>
          <w:bCs/>
          <w:color w:val="000000" w:themeColor="text1"/>
        </w:rPr>
        <w:t>11-1/8 pulgadas</w:t>
      </w:r>
      <w:r>
        <w:rPr>
          <w:color w:val="000000" w:themeColor="text1"/>
        </w:rPr>
        <w:t xml:space="preserve"> </w:t>
      </w:r>
      <w:r>
        <w:rPr>
          <w:b/>
          <w:bCs/>
          <w:color w:val="000000" w:themeColor="text1"/>
        </w:rPr>
        <w:t>(282.6 mm) de</w:t>
      </w:r>
      <w:r>
        <w:rPr>
          <w:color w:val="000000" w:themeColor="text1"/>
        </w:rPr>
        <w:t xml:space="preserve"> placa de montaje extraíble de ancho.</w:t>
      </w:r>
    </w:p>
    <w:p w14:paraId="5B44A180" w14:textId="664E1F81" w:rsidR="005D5284" w:rsidRPr="00C9257F" w:rsidRDefault="005D5284" w:rsidP="003D48C4">
      <w:pPr>
        <w:pStyle w:val="PR1"/>
        <w:numPr>
          <w:ilvl w:val="0"/>
          <w:numId w:val="0"/>
        </w:numPr>
        <w:ind w:left="1800"/>
        <w:rPr>
          <w:color w:val="000000" w:themeColor="text1"/>
        </w:rPr>
      </w:pPr>
      <w:r>
        <w:rPr>
          <w:color w:val="000000" w:themeColor="text1"/>
        </w:rPr>
        <w:t xml:space="preserve">Montado en pared, con puerta sólida, </w:t>
      </w:r>
      <w:r>
        <w:rPr>
          <w:b/>
          <w:bCs/>
          <w:color w:val="000000" w:themeColor="text1"/>
        </w:rPr>
        <w:t>11.5 pulgadas</w:t>
      </w:r>
      <w:r>
        <w:rPr>
          <w:color w:val="000000" w:themeColor="text1"/>
        </w:rPr>
        <w:t xml:space="preserve"> </w:t>
      </w:r>
      <w:r>
        <w:rPr>
          <w:b/>
          <w:bCs/>
          <w:color w:val="000000" w:themeColor="text1"/>
        </w:rPr>
        <w:t>(292.1 mm) de</w:t>
      </w:r>
      <w:r>
        <w:rPr>
          <w:color w:val="000000" w:themeColor="text1"/>
        </w:rPr>
        <w:t xml:space="preserve"> alto por </w:t>
      </w:r>
      <w:r>
        <w:rPr>
          <w:b/>
          <w:bCs/>
          <w:color w:val="000000" w:themeColor="text1"/>
        </w:rPr>
        <w:t>9.5 pulgadas (241.3 mm) de</w:t>
      </w:r>
      <w:r>
        <w:rPr>
          <w:color w:val="000000" w:themeColor="text1"/>
        </w:rPr>
        <w:t xml:space="preserve"> ancho por </w:t>
      </w:r>
      <w:r>
        <w:rPr>
          <w:b/>
          <w:bCs/>
          <w:color w:val="000000" w:themeColor="text1"/>
        </w:rPr>
        <w:t>4.5 pulgadas</w:t>
      </w:r>
      <w:r>
        <w:rPr>
          <w:color w:val="000000" w:themeColor="text1"/>
        </w:rPr>
        <w:t xml:space="preserve"> </w:t>
      </w:r>
      <w:r>
        <w:rPr>
          <w:b/>
          <w:bCs/>
          <w:color w:val="000000" w:themeColor="text1"/>
        </w:rPr>
        <w:t>(114.3 mm) de</w:t>
      </w:r>
      <w:r>
        <w:rPr>
          <w:color w:val="000000" w:themeColor="text1"/>
        </w:rPr>
        <w:t xml:space="preserve"> profundidad, </w:t>
      </w:r>
      <w:r>
        <w:rPr>
          <w:b/>
          <w:bCs/>
          <w:color w:val="000000" w:themeColor="text1"/>
        </w:rPr>
        <w:t>3 pulgadas</w:t>
      </w:r>
      <w:r>
        <w:rPr>
          <w:color w:val="000000" w:themeColor="text1"/>
        </w:rPr>
        <w:t xml:space="preserve"> </w:t>
      </w:r>
      <w:r>
        <w:rPr>
          <w:b/>
          <w:bCs/>
          <w:color w:val="000000" w:themeColor="text1"/>
        </w:rPr>
        <w:t>(76.2 mm) de</w:t>
      </w:r>
      <w:r>
        <w:rPr>
          <w:color w:val="000000" w:themeColor="text1"/>
        </w:rPr>
        <w:t xml:space="preserve"> profundidad interior, </w:t>
      </w:r>
      <w:r>
        <w:rPr>
          <w:b/>
          <w:bCs/>
          <w:color w:val="000000" w:themeColor="text1"/>
        </w:rPr>
        <w:t>8-7/8 pulgadas</w:t>
      </w:r>
      <w:r>
        <w:rPr>
          <w:color w:val="000000" w:themeColor="text1"/>
        </w:rPr>
        <w:t xml:space="preserve"> </w:t>
      </w:r>
      <w:r>
        <w:rPr>
          <w:b/>
          <w:bCs/>
          <w:color w:val="000000" w:themeColor="text1"/>
        </w:rPr>
        <w:t>(225.4 mm)</w:t>
      </w:r>
      <w:r>
        <w:rPr>
          <w:color w:val="000000" w:themeColor="text1"/>
        </w:rPr>
        <w:t xml:space="preserve"> de largo por una placa de montaje extraíble </w:t>
      </w:r>
      <w:r>
        <w:rPr>
          <w:b/>
          <w:bCs/>
          <w:color w:val="000000" w:themeColor="text1"/>
        </w:rPr>
        <w:t>de 6-7/8 pulgadas</w:t>
      </w:r>
      <w:r>
        <w:rPr>
          <w:color w:val="000000" w:themeColor="text1"/>
        </w:rPr>
        <w:t xml:space="preserve"> </w:t>
      </w:r>
      <w:r>
        <w:rPr>
          <w:b/>
          <w:bCs/>
          <w:color w:val="000000" w:themeColor="text1"/>
        </w:rPr>
        <w:t>(174.6 mm) de ancho.</w:t>
      </w:r>
    </w:p>
    <w:p w14:paraId="2CE80708" w14:textId="45FC080B" w:rsidR="005D5284" w:rsidRPr="00C9257F" w:rsidRDefault="005D5284" w:rsidP="003D48C4">
      <w:pPr>
        <w:pStyle w:val="PR1"/>
        <w:numPr>
          <w:ilvl w:val="0"/>
          <w:numId w:val="0"/>
        </w:numPr>
        <w:ind w:left="720"/>
        <w:rPr>
          <w:b/>
          <w:bCs/>
          <w:color w:val="000000" w:themeColor="text1"/>
        </w:rPr>
      </w:pPr>
      <w:r>
        <w:rPr>
          <w:b/>
          <w:bCs/>
          <w:color w:val="000000" w:themeColor="text1"/>
        </w:rPr>
        <w:t>PARTE 3: EJECUCIÓN</w:t>
      </w:r>
    </w:p>
    <w:p w14:paraId="5C6299D8" w14:textId="0169C8B1" w:rsidR="005D5284" w:rsidRPr="00C9257F" w:rsidRDefault="005D5284" w:rsidP="003D48C4">
      <w:pPr>
        <w:pStyle w:val="PR1"/>
        <w:numPr>
          <w:ilvl w:val="0"/>
          <w:numId w:val="0"/>
        </w:numPr>
        <w:ind w:left="720"/>
        <w:rPr>
          <w:color w:val="000000" w:themeColor="text1"/>
        </w:rPr>
      </w:pPr>
      <w:r>
        <w:rPr>
          <w:color w:val="000000" w:themeColor="text1"/>
        </w:rPr>
        <w:t>General:  Cumplir con NECA 1.</w:t>
      </w:r>
    </w:p>
    <w:p w14:paraId="07117AED" w14:textId="378521BE" w:rsidR="005D5284" w:rsidRPr="00C9257F" w:rsidRDefault="005D5284" w:rsidP="003D48C4">
      <w:pPr>
        <w:pStyle w:val="PR1"/>
        <w:numPr>
          <w:ilvl w:val="0"/>
          <w:numId w:val="0"/>
        </w:numPr>
        <w:ind w:left="360"/>
        <w:rPr>
          <w:color w:val="000000" w:themeColor="text1"/>
        </w:rPr>
      </w:pPr>
      <w:r>
        <w:rPr>
          <w:color w:val="000000" w:themeColor="text1"/>
        </w:rPr>
        <w:t>3.1</w:t>
      </w:r>
      <w:r>
        <w:rPr>
          <w:color w:val="000000" w:themeColor="text1"/>
        </w:rPr>
        <w:tab/>
        <w:t>INSTALACIÓN DE SOPORTES O CONTENEDORES PARA MONTAJE EN PARED</w:t>
      </w:r>
    </w:p>
    <w:p w14:paraId="7F6992BB" w14:textId="1BDBABBF" w:rsidR="006643CF" w:rsidRPr="00C9257F" w:rsidRDefault="000A3837" w:rsidP="006C37F0">
      <w:pPr>
        <w:pStyle w:val="PR1"/>
        <w:numPr>
          <w:ilvl w:val="4"/>
          <w:numId w:val="15"/>
        </w:numPr>
        <w:ind w:left="1440" w:firstLine="0"/>
        <w:rPr>
          <w:color w:val="000000" w:themeColor="text1"/>
        </w:rPr>
      </w:pPr>
      <w:r>
        <w:rPr>
          <w:color w:val="000000" w:themeColor="text1"/>
        </w:rPr>
        <w:t>Siga las instrucciones del fabricante al instalar soportes o contenedores.</w:t>
      </w:r>
    </w:p>
    <w:p w14:paraId="44A57DE2" w14:textId="729F5865" w:rsidR="005D5284" w:rsidRPr="00DC3651" w:rsidRDefault="005D5284" w:rsidP="006C37F0">
      <w:pPr>
        <w:pStyle w:val="PR1"/>
        <w:numPr>
          <w:ilvl w:val="4"/>
          <w:numId w:val="15"/>
        </w:numPr>
        <w:ind w:left="1440" w:firstLine="0"/>
      </w:pPr>
      <w:r>
        <w:t xml:space="preserve">Fije el soporte o el contenedor a la pared para que la puerta y la estructura del gabinete se puedan abrir completamente sin obstrucciones por otros componentes del edificio, almacenamiento o arquitectura. Siga las instrucciones de instalación del fabricante cuando asegure el soporte o el contenedor a la pared y al tablero. </w:t>
      </w:r>
    </w:p>
    <w:p w14:paraId="7FB08725" w14:textId="4573307F" w:rsidR="005D5284" w:rsidRPr="00DC3651" w:rsidRDefault="005D5284" w:rsidP="006C37F0">
      <w:pPr>
        <w:pStyle w:val="PR1"/>
        <w:numPr>
          <w:ilvl w:val="4"/>
          <w:numId w:val="15"/>
        </w:numPr>
        <w:ind w:left="1440" w:firstLine="0"/>
      </w:pPr>
      <w:r>
        <w:t xml:space="preserve">Utilice las herramientas incluidas o las herramientas adecuadas como lo define el código local o la autoridad que tiene jurisdicción. </w:t>
      </w:r>
    </w:p>
    <w:p w14:paraId="7F0441C1" w14:textId="7B7AC61C" w:rsidR="00716C7A" w:rsidRPr="00DC3651" w:rsidRDefault="00716C7A" w:rsidP="006C37F0">
      <w:pPr>
        <w:pStyle w:val="PR1"/>
        <w:numPr>
          <w:ilvl w:val="4"/>
          <w:numId w:val="15"/>
        </w:numPr>
        <w:ind w:left="1440" w:firstLine="0"/>
      </w:pPr>
      <w:r>
        <w:t>D.</w:t>
      </w:r>
      <w:r>
        <w:tab/>
        <w:t>Instalaciones sísmicas:  Instale anclajes diseñados por un ingeniero estructural con licencia en&lt;Insertar estado&gt; y como se detalla.</w:t>
      </w:r>
    </w:p>
    <w:p w14:paraId="05A99535" w14:textId="6F3AA6E0" w:rsidR="005D5284" w:rsidRPr="00DC3651" w:rsidRDefault="005D5284" w:rsidP="006C37F0">
      <w:pPr>
        <w:pStyle w:val="PR1"/>
        <w:numPr>
          <w:ilvl w:val="4"/>
          <w:numId w:val="15"/>
        </w:numPr>
        <w:ind w:left="1440" w:firstLine="0"/>
      </w:pPr>
      <w:r>
        <w:t xml:space="preserve">Los cables deben entrar/salir del gabinete a través de orificios ciegos para conductos o cortes rectangulares en la parte posterior del panel posterior del soporte o contenedor. Utilice arandelas de protección de bordes sobre los troqueles de conductos cuando los cables pasan por un troquel de </w:t>
      </w:r>
      <w:proofErr w:type="gramStart"/>
      <w:r>
        <w:t>conducto</w:t>
      </w:r>
      <w:proofErr w:type="gramEnd"/>
      <w:r>
        <w:t xml:space="preserve"> pero no están encerrados en el conducto.</w:t>
      </w:r>
    </w:p>
    <w:p w14:paraId="05629119" w14:textId="3830469D" w:rsidR="009B49A6" w:rsidRPr="00DC3651" w:rsidRDefault="009B49A6" w:rsidP="003D48C4">
      <w:pPr>
        <w:pStyle w:val="ART"/>
        <w:numPr>
          <w:ilvl w:val="1"/>
          <w:numId w:val="18"/>
        </w:numPr>
        <w:outlineLvl w:val="9"/>
        <w:rPr>
          <w:rFonts w:eastAsia="Times New Roman"/>
        </w:rPr>
      </w:pPr>
      <w:r>
        <w:t>INSTALACIÓN DE CONTENEDORES PARA TECHO</w:t>
      </w:r>
    </w:p>
    <w:p w14:paraId="31652BC6" w14:textId="77777777" w:rsidR="009B49A6" w:rsidRPr="00DC3651" w:rsidRDefault="009B49A6" w:rsidP="009B49A6">
      <w:pPr>
        <w:pStyle w:val="PR1lc"/>
        <w:rPr>
          <w:rFonts w:eastAsia="Times New Roman"/>
        </w:rPr>
      </w:pPr>
      <w:r>
        <w:t>Contenedores para techo:</w:t>
      </w:r>
    </w:p>
    <w:p w14:paraId="114D0D8B" w14:textId="06A92183" w:rsidR="009B49A6" w:rsidRDefault="009B49A6" w:rsidP="003D48C4">
      <w:pPr>
        <w:pStyle w:val="PR3"/>
        <w:ind w:left="1530"/>
        <w:rPr>
          <w:rFonts w:eastAsia="Times New Roman"/>
        </w:rPr>
      </w:pPr>
      <w:r>
        <w:t xml:space="preserve">Fije el contenedor al techo para que la puerta de acceso pueda abrirse por completo sin ser obstruida por otros componentes edilicios, de almacenamiento o arquitectónicos. Ubique el contenedor cerca del centro de la zona de cableado. El contenedor debe colocarse de modo que el acceso a este no requiera el movimiento de muebles y de modo que se minimicen las alteraciones en el </w:t>
      </w:r>
      <w:r>
        <w:lastRenderedPageBreak/>
        <w:t>espacio de trabajo. El espacio del techo debe proporcionar altura suficiente para el contenedor. El acceso al contenedor a través de los azulejos del techo circundantes también debe considerarse al elegir la ubicación del contenedor.</w:t>
      </w:r>
    </w:p>
    <w:p w14:paraId="4BD6D697" w14:textId="77777777" w:rsidR="003D48C4" w:rsidRPr="003D48C4" w:rsidRDefault="003D48C4" w:rsidP="003D48C4">
      <w:pPr>
        <w:pStyle w:val="PR2"/>
        <w:numPr>
          <w:ilvl w:val="0"/>
          <w:numId w:val="0"/>
        </w:numPr>
      </w:pPr>
    </w:p>
    <w:p w14:paraId="540D5354" w14:textId="7F08BE91" w:rsidR="009B49A6" w:rsidRDefault="009B49A6" w:rsidP="003D48C4">
      <w:pPr>
        <w:pStyle w:val="PR3"/>
        <w:ind w:left="1530"/>
        <w:rPr>
          <w:rFonts w:eastAsia="Times New Roman"/>
        </w:rPr>
      </w:pPr>
      <w:r>
        <w:t>Siga las instrucciones de instalación del fabricante al asegurar el contenedor al techo y al instalar el equipo. El contenedor debe estar anexo a la estructura del edificio con varillas roscadas y no puede ser soportado por la rejilla del techo colgante (barras en T) o azulejos, a menos que el contenedor esté provisto de soportes específicamente para este propósito. Use herramientas de 3/8 de pulgada o herramientas apropiadas según lo defina el código local o la autoridad competente para asegurar el contenedor a la estructura del edificio. Es posible que se requiera una estructura auxiliar para colocar el contenedor como se desee. El cuerpo del contenedor debe estar por encima de los azulejos del techo colgante. La puerta de acceso del contenedor debe estar alineada con la rejilla del techo colgante. Selle los puertos del cable con los kits de sellado de espuma incluidos según las instrucciones en los techos del pleno utilizados como espacios de manejo de aire.</w:t>
      </w:r>
    </w:p>
    <w:p w14:paraId="1312637C" w14:textId="77777777" w:rsidR="003D48C4" w:rsidRDefault="003D48C4" w:rsidP="003D48C4">
      <w:pPr>
        <w:pStyle w:val="ListParagraph"/>
        <w:rPr>
          <w:rFonts w:eastAsia="Times New Roman"/>
        </w:rPr>
      </w:pPr>
    </w:p>
    <w:p w14:paraId="1E42A272" w14:textId="5FB7776D" w:rsidR="009B49A6" w:rsidRPr="00DC3651" w:rsidRDefault="009B49A6" w:rsidP="003D48C4">
      <w:pPr>
        <w:pStyle w:val="PR3"/>
        <w:ind w:left="1530"/>
        <w:rPr>
          <w:rFonts w:eastAsia="Times New Roman"/>
        </w:rPr>
      </w:pPr>
      <w:r>
        <w:t>Instalaciones sísmicas:  Instale los anclajes como los diseñó el ingeniero estructural con licencia en &lt;</w:t>
      </w:r>
      <w:r>
        <w:rPr>
          <w:b/>
          <w:bCs/>
        </w:rPr>
        <w:t>Insertar estado</w:t>
      </w:r>
      <w:r>
        <w:t>&gt; y según se detalla.</w:t>
      </w:r>
    </w:p>
    <w:p w14:paraId="78DE3CA2" w14:textId="098C739D" w:rsidR="006643CF" w:rsidRPr="00DC3651" w:rsidRDefault="00237BB7" w:rsidP="003D48C4">
      <w:pPr>
        <w:pStyle w:val="PR1"/>
        <w:numPr>
          <w:ilvl w:val="1"/>
          <w:numId w:val="18"/>
        </w:numPr>
        <w:ind w:left="720"/>
      </w:pPr>
      <w:r>
        <w:t>INSTALACIÓN DE BOLARDOS</w:t>
      </w:r>
    </w:p>
    <w:p w14:paraId="3D4E7A5F" w14:textId="735A7A34" w:rsidR="00237BB7" w:rsidRPr="00DC3651" w:rsidRDefault="003D48C4" w:rsidP="003D48C4">
      <w:pPr>
        <w:pStyle w:val="PR1"/>
        <w:numPr>
          <w:ilvl w:val="0"/>
          <w:numId w:val="0"/>
        </w:numPr>
        <w:tabs>
          <w:tab w:val="clear" w:pos="900"/>
          <w:tab w:val="left" w:pos="1440"/>
        </w:tabs>
        <w:ind w:left="1440"/>
      </w:pPr>
      <w:r>
        <w:t>a. Siga las instrucciones del fabricante al instalar bolardos.</w:t>
      </w:r>
    </w:p>
    <w:p w14:paraId="1BC86018" w14:textId="53142B47" w:rsidR="00237BB7" w:rsidRPr="00DC3651" w:rsidRDefault="003D48C4" w:rsidP="003D48C4">
      <w:pPr>
        <w:pStyle w:val="PR1"/>
        <w:numPr>
          <w:ilvl w:val="0"/>
          <w:numId w:val="0"/>
        </w:numPr>
        <w:tabs>
          <w:tab w:val="clear" w:pos="900"/>
          <w:tab w:val="left" w:pos="1440"/>
        </w:tabs>
        <w:ind w:left="1530" w:hanging="90"/>
      </w:pPr>
      <w:r>
        <w:t xml:space="preserve">b. Los bolardos se fijan a un pedestal de hormigón. El instalador debe verter o coordinar con otro oficio para verter un pedestal de hormigón, a fin de montar el bolardo. </w:t>
      </w:r>
    </w:p>
    <w:sectPr w:rsidR="00237BB7" w:rsidRPr="00DC36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0947"/>
    <w:multiLevelType w:val="hybridMultilevel"/>
    <w:tmpl w:val="A67EB95E"/>
    <w:lvl w:ilvl="0" w:tplc="83D4EC9C">
      <w:start w:val="1315"/>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E2125"/>
    <w:multiLevelType w:val="multilevel"/>
    <w:tmpl w:val="CA76C73E"/>
    <w:lvl w:ilvl="0">
      <w:start w:val="1"/>
      <w:numFmt w:val="decimal"/>
      <w:lvlText w:val="%1."/>
      <w:lvlJc w:val="left"/>
      <w:pPr>
        <w:ind w:left="1260" w:hanging="360"/>
      </w:pPr>
      <w:rPr>
        <w:rFonts w:hint="default"/>
      </w:rPr>
    </w:lvl>
    <w:lvl w:ilvl="1">
      <w:start w:val="1"/>
      <w:numFmt w:val="bullet"/>
      <w:lvlText w:val=""/>
      <w:lvlJc w:val="left"/>
      <w:pPr>
        <w:ind w:left="1260" w:hanging="360"/>
      </w:pPr>
      <w:rPr>
        <w:rFonts w:ascii="Symbol" w:hAnsi="Symbol"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 w15:restartNumberingAfterBreak="1">
    <w:nsid w:val="06B59B1F"/>
    <w:multiLevelType w:val="multilevel"/>
    <w:tmpl w:val="0000000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3" w15:restartNumberingAfterBreak="0">
    <w:nsid w:val="119F2350"/>
    <w:multiLevelType w:val="hybridMultilevel"/>
    <w:tmpl w:val="935A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1606"/>
    <w:multiLevelType w:val="multilevel"/>
    <w:tmpl w:val="E58CCFA0"/>
    <w:lvl w:ilvl="0">
      <w:start w:val="1"/>
      <w:numFmt w:val="decimal"/>
      <w:lvlText w:val="%1."/>
      <w:lvlJc w:val="left"/>
      <w:pPr>
        <w:ind w:left="720" w:hanging="360"/>
      </w:pPr>
      <w:rPr>
        <w:rFonts w:hint="default"/>
      </w:rPr>
    </w:lvl>
    <w:lvl w:ilvl="1">
      <w:start w:val="9"/>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25AE30F5"/>
    <w:multiLevelType w:val="multilevel"/>
    <w:tmpl w:val="5DA0450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11591F"/>
    <w:multiLevelType w:val="multilevel"/>
    <w:tmpl w:val="96B089CA"/>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331D1048"/>
    <w:multiLevelType w:val="hybridMultilevel"/>
    <w:tmpl w:val="908CC0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31D1F62"/>
    <w:multiLevelType w:val="multilevel"/>
    <w:tmpl w:val="5CE2B47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1">
    <w:nsid w:val="447790A1"/>
    <w:multiLevelType w:val="multilevel"/>
    <w:tmpl w:val="00000000"/>
    <w:name w:val="MASTERSPEC"/>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0" w15:restartNumberingAfterBreak="0">
    <w:nsid w:val="56E54EFD"/>
    <w:multiLevelType w:val="hybridMultilevel"/>
    <w:tmpl w:val="18468616"/>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243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71576"/>
    <w:multiLevelType w:val="hybridMultilevel"/>
    <w:tmpl w:val="184686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6053C"/>
    <w:multiLevelType w:val="hybridMultilevel"/>
    <w:tmpl w:val="9A0684C4"/>
    <w:lvl w:ilvl="0" w:tplc="2C1A51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94660D6"/>
    <w:multiLevelType w:val="hybridMultilevel"/>
    <w:tmpl w:val="98E02E74"/>
    <w:lvl w:ilvl="0" w:tplc="75604E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C9F4C70"/>
    <w:multiLevelType w:val="multilevel"/>
    <w:tmpl w:val="697C455C"/>
    <w:lvl w:ilvl="0">
      <w:start w:val="1"/>
      <w:numFmt w:val="decimal"/>
      <w:lvlText w:val="%1."/>
      <w:lvlJc w:val="left"/>
      <w:pPr>
        <w:ind w:left="1260" w:hanging="360"/>
      </w:pPr>
      <w:rPr>
        <w:rFonts w:hint="default"/>
      </w:rPr>
    </w:lvl>
    <w:lvl w:ilvl="1">
      <w:start w:val="1"/>
      <w:numFmt w:val="bullet"/>
      <w:lvlText w:val=""/>
      <w:lvlJc w:val="left"/>
      <w:pPr>
        <w:ind w:left="1260" w:hanging="360"/>
      </w:pPr>
      <w:rPr>
        <w:rFonts w:ascii="Symbol" w:hAnsi="Symbol" w:hint="default"/>
      </w:rPr>
    </w:lvl>
    <w:lvl w:ilvl="2">
      <w:start w:val="1"/>
      <w:numFmt w:val="bullet"/>
      <w:lvlText w:val=""/>
      <w:lvlJc w:val="left"/>
      <w:pPr>
        <w:ind w:left="162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5" w15:restartNumberingAfterBreak="0">
    <w:nsid w:val="77C1FFC1"/>
    <w:multiLevelType w:val="multilevel"/>
    <w:tmpl w:val="00000000"/>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6" w15:restartNumberingAfterBreak="0">
    <w:nsid w:val="7CE47E2C"/>
    <w:multiLevelType w:val="hybridMultilevel"/>
    <w:tmpl w:val="2DE0624A"/>
    <w:lvl w:ilvl="0" w:tplc="CFCA395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5"/>
  </w:num>
  <w:num w:numId="2">
    <w:abstractNumId w:val="7"/>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
    <w:abstractNumId w:val="3"/>
  </w:num>
  <w:num w:numId="6">
    <w:abstractNumId w:val="8"/>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9">
    <w:abstractNumId w:val="1"/>
  </w:num>
  <w:num w:numId="10">
    <w:abstractNumId w:val="5"/>
  </w:num>
  <w:num w:numId="11">
    <w:abstractNumId w:val="4"/>
  </w:num>
  <w:num w:numId="12">
    <w:abstractNumId w:val="0"/>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5">
    <w:abstractNumId w:val="10"/>
  </w:num>
  <w:num w:numId="16">
    <w:abstractNumId w:val="9"/>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91"/>
    <w:rsid w:val="00000DBF"/>
    <w:rsid w:val="000073B6"/>
    <w:rsid w:val="00024400"/>
    <w:rsid w:val="00025A29"/>
    <w:rsid w:val="00035CE3"/>
    <w:rsid w:val="000402D6"/>
    <w:rsid w:val="00040ADA"/>
    <w:rsid w:val="000507C4"/>
    <w:rsid w:val="0005164A"/>
    <w:rsid w:val="000562EB"/>
    <w:rsid w:val="00060B30"/>
    <w:rsid w:val="00072D92"/>
    <w:rsid w:val="00076C17"/>
    <w:rsid w:val="0008049C"/>
    <w:rsid w:val="00083051"/>
    <w:rsid w:val="00085106"/>
    <w:rsid w:val="00087013"/>
    <w:rsid w:val="000A3837"/>
    <w:rsid w:val="000A70B7"/>
    <w:rsid w:val="000D10B9"/>
    <w:rsid w:val="000E0B25"/>
    <w:rsid w:val="000E34FF"/>
    <w:rsid w:val="000E3E4C"/>
    <w:rsid w:val="000E6093"/>
    <w:rsid w:val="000E60C8"/>
    <w:rsid w:val="000F6334"/>
    <w:rsid w:val="0010338D"/>
    <w:rsid w:val="00124D1F"/>
    <w:rsid w:val="00134E1F"/>
    <w:rsid w:val="0014022F"/>
    <w:rsid w:val="001441DA"/>
    <w:rsid w:val="00145128"/>
    <w:rsid w:val="001466B1"/>
    <w:rsid w:val="0015243A"/>
    <w:rsid w:val="00155242"/>
    <w:rsid w:val="00157368"/>
    <w:rsid w:val="00162362"/>
    <w:rsid w:val="00164B6D"/>
    <w:rsid w:val="001862FD"/>
    <w:rsid w:val="00186E68"/>
    <w:rsid w:val="001E01B9"/>
    <w:rsid w:val="001E21CD"/>
    <w:rsid w:val="001F2736"/>
    <w:rsid w:val="001F27B0"/>
    <w:rsid w:val="00204CA9"/>
    <w:rsid w:val="00210E13"/>
    <w:rsid w:val="0021476F"/>
    <w:rsid w:val="0022154B"/>
    <w:rsid w:val="00222440"/>
    <w:rsid w:val="00226620"/>
    <w:rsid w:val="002339AB"/>
    <w:rsid w:val="00237BB7"/>
    <w:rsid w:val="0025416B"/>
    <w:rsid w:val="0026078D"/>
    <w:rsid w:val="00260987"/>
    <w:rsid w:val="00260BB2"/>
    <w:rsid w:val="0027566E"/>
    <w:rsid w:val="00285445"/>
    <w:rsid w:val="00297AFD"/>
    <w:rsid w:val="002B37AD"/>
    <w:rsid w:val="002B620E"/>
    <w:rsid w:val="002D308A"/>
    <w:rsid w:val="002E6A25"/>
    <w:rsid w:val="00301B71"/>
    <w:rsid w:val="00302CA9"/>
    <w:rsid w:val="003075ED"/>
    <w:rsid w:val="003419BA"/>
    <w:rsid w:val="00346558"/>
    <w:rsid w:val="0034732B"/>
    <w:rsid w:val="00347584"/>
    <w:rsid w:val="00352575"/>
    <w:rsid w:val="00354BFC"/>
    <w:rsid w:val="003576B4"/>
    <w:rsid w:val="00377FBE"/>
    <w:rsid w:val="00380540"/>
    <w:rsid w:val="00381571"/>
    <w:rsid w:val="00394F57"/>
    <w:rsid w:val="0039684F"/>
    <w:rsid w:val="003A1564"/>
    <w:rsid w:val="003A3DC3"/>
    <w:rsid w:val="003B2406"/>
    <w:rsid w:val="003B51BB"/>
    <w:rsid w:val="003D48C4"/>
    <w:rsid w:val="004026C2"/>
    <w:rsid w:val="00411F93"/>
    <w:rsid w:val="004355D1"/>
    <w:rsid w:val="004372BB"/>
    <w:rsid w:val="00454299"/>
    <w:rsid w:val="004563F5"/>
    <w:rsid w:val="00460B0E"/>
    <w:rsid w:val="0046406A"/>
    <w:rsid w:val="00465E2B"/>
    <w:rsid w:val="004712FD"/>
    <w:rsid w:val="0047540D"/>
    <w:rsid w:val="00476AA0"/>
    <w:rsid w:val="004804D7"/>
    <w:rsid w:val="00482770"/>
    <w:rsid w:val="00487E67"/>
    <w:rsid w:val="00492F55"/>
    <w:rsid w:val="00493759"/>
    <w:rsid w:val="00497871"/>
    <w:rsid w:val="004A0266"/>
    <w:rsid w:val="004A4C52"/>
    <w:rsid w:val="004C1710"/>
    <w:rsid w:val="004C6A63"/>
    <w:rsid w:val="004D4461"/>
    <w:rsid w:val="004E075D"/>
    <w:rsid w:val="004E308C"/>
    <w:rsid w:val="004F2B1A"/>
    <w:rsid w:val="00512BD3"/>
    <w:rsid w:val="00525473"/>
    <w:rsid w:val="00526741"/>
    <w:rsid w:val="00533216"/>
    <w:rsid w:val="0054576D"/>
    <w:rsid w:val="00550E3D"/>
    <w:rsid w:val="005562AB"/>
    <w:rsid w:val="00556E77"/>
    <w:rsid w:val="00570E84"/>
    <w:rsid w:val="005730D5"/>
    <w:rsid w:val="00585DD5"/>
    <w:rsid w:val="0058715F"/>
    <w:rsid w:val="00594E8D"/>
    <w:rsid w:val="005B606C"/>
    <w:rsid w:val="005C0C5F"/>
    <w:rsid w:val="005C2516"/>
    <w:rsid w:val="005C63AD"/>
    <w:rsid w:val="005D5284"/>
    <w:rsid w:val="005E1842"/>
    <w:rsid w:val="005F66BF"/>
    <w:rsid w:val="005F69C9"/>
    <w:rsid w:val="00600DC4"/>
    <w:rsid w:val="006106CE"/>
    <w:rsid w:val="00623325"/>
    <w:rsid w:val="006362A6"/>
    <w:rsid w:val="00650775"/>
    <w:rsid w:val="00655FEE"/>
    <w:rsid w:val="006608CB"/>
    <w:rsid w:val="006643CF"/>
    <w:rsid w:val="006728C3"/>
    <w:rsid w:val="00680FF2"/>
    <w:rsid w:val="0068267E"/>
    <w:rsid w:val="00684E90"/>
    <w:rsid w:val="006946F3"/>
    <w:rsid w:val="00697E03"/>
    <w:rsid w:val="006A5E5B"/>
    <w:rsid w:val="006A60E8"/>
    <w:rsid w:val="006A6F34"/>
    <w:rsid w:val="006B4C05"/>
    <w:rsid w:val="006B6E5B"/>
    <w:rsid w:val="006B7ECC"/>
    <w:rsid w:val="006C37F0"/>
    <w:rsid w:val="006D68D1"/>
    <w:rsid w:val="006E7D92"/>
    <w:rsid w:val="006F4087"/>
    <w:rsid w:val="00700B6F"/>
    <w:rsid w:val="00701248"/>
    <w:rsid w:val="00706323"/>
    <w:rsid w:val="00712E70"/>
    <w:rsid w:val="00716C7A"/>
    <w:rsid w:val="00733A21"/>
    <w:rsid w:val="00747035"/>
    <w:rsid w:val="00755146"/>
    <w:rsid w:val="00757F5D"/>
    <w:rsid w:val="00761FD9"/>
    <w:rsid w:val="007657FC"/>
    <w:rsid w:val="007662CA"/>
    <w:rsid w:val="007826D4"/>
    <w:rsid w:val="007B2142"/>
    <w:rsid w:val="007B7A44"/>
    <w:rsid w:val="007C4CCF"/>
    <w:rsid w:val="007C60A5"/>
    <w:rsid w:val="007C71B5"/>
    <w:rsid w:val="007D4CDA"/>
    <w:rsid w:val="00807FE0"/>
    <w:rsid w:val="00815FCF"/>
    <w:rsid w:val="008211A0"/>
    <w:rsid w:val="00822983"/>
    <w:rsid w:val="00823065"/>
    <w:rsid w:val="0082666E"/>
    <w:rsid w:val="00826C2A"/>
    <w:rsid w:val="00830991"/>
    <w:rsid w:val="00832EA0"/>
    <w:rsid w:val="008454AA"/>
    <w:rsid w:val="008516A4"/>
    <w:rsid w:val="00851943"/>
    <w:rsid w:val="00881749"/>
    <w:rsid w:val="00882D08"/>
    <w:rsid w:val="008A4732"/>
    <w:rsid w:val="008A5755"/>
    <w:rsid w:val="008A5DAC"/>
    <w:rsid w:val="008B0CA9"/>
    <w:rsid w:val="008B7841"/>
    <w:rsid w:val="008D1604"/>
    <w:rsid w:val="008E2021"/>
    <w:rsid w:val="008E35FC"/>
    <w:rsid w:val="008F3048"/>
    <w:rsid w:val="008F3F7A"/>
    <w:rsid w:val="009000AC"/>
    <w:rsid w:val="00904DBF"/>
    <w:rsid w:val="00911550"/>
    <w:rsid w:val="009178B8"/>
    <w:rsid w:val="00923F09"/>
    <w:rsid w:val="00932D7F"/>
    <w:rsid w:val="00933B2F"/>
    <w:rsid w:val="00934A2F"/>
    <w:rsid w:val="00937FE7"/>
    <w:rsid w:val="00947119"/>
    <w:rsid w:val="00957148"/>
    <w:rsid w:val="00970FFD"/>
    <w:rsid w:val="00980A56"/>
    <w:rsid w:val="009932C3"/>
    <w:rsid w:val="009A6BA1"/>
    <w:rsid w:val="009A766B"/>
    <w:rsid w:val="009B49A6"/>
    <w:rsid w:val="009E72C1"/>
    <w:rsid w:val="009F16A7"/>
    <w:rsid w:val="00A03D79"/>
    <w:rsid w:val="00A10BDA"/>
    <w:rsid w:val="00A254B7"/>
    <w:rsid w:val="00A507F5"/>
    <w:rsid w:val="00A53789"/>
    <w:rsid w:val="00A5798E"/>
    <w:rsid w:val="00A65D7F"/>
    <w:rsid w:val="00A7598C"/>
    <w:rsid w:val="00A76EA9"/>
    <w:rsid w:val="00A77298"/>
    <w:rsid w:val="00A80DC7"/>
    <w:rsid w:val="00A93CDA"/>
    <w:rsid w:val="00A94227"/>
    <w:rsid w:val="00A95FBD"/>
    <w:rsid w:val="00A966C9"/>
    <w:rsid w:val="00AA177D"/>
    <w:rsid w:val="00AA18CB"/>
    <w:rsid w:val="00AD4F11"/>
    <w:rsid w:val="00AD6764"/>
    <w:rsid w:val="00AE3044"/>
    <w:rsid w:val="00AF65D0"/>
    <w:rsid w:val="00B01303"/>
    <w:rsid w:val="00B01315"/>
    <w:rsid w:val="00B01E2A"/>
    <w:rsid w:val="00B03FFF"/>
    <w:rsid w:val="00B21E41"/>
    <w:rsid w:val="00B35F82"/>
    <w:rsid w:val="00B415CF"/>
    <w:rsid w:val="00B42691"/>
    <w:rsid w:val="00B5169B"/>
    <w:rsid w:val="00B525F0"/>
    <w:rsid w:val="00B568C5"/>
    <w:rsid w:val="00B57DE2"/>
    <w:rsid w:val="00B652C7"/>
    <w:rsid w:val="00B6784E"/>
    <w:rsid w:val="00B73C58"/>
    <w:rsid w:val="00B81958"/>
    <w:rsid w:val="00B87F9C"/>
    <w:rsid w:val="00B94AAA"/>
    <w:rsid w:val="00B95D01"/>
    <w:rsid w:val="00BA5E72"/>
    <w:rsid w:val="00BA69FC"/>
    <w:rsid w:val="00BA7BF2"/>
    <w:rsid w:val="00BB02E0"/>
    <w:rsid w:val="00BC3F7F"/>
    <w:rsid w:val="00BC7100"/>
    <w:rsid w:val="00BE6027"/>
    <w:rsid w:val="00BF539D"/>
    <w:rsid w:val="00C00FD0"/>
    <w:rsid w:val="00C01240"/>
    <w:rsid w:val="00C10CA9"/>
    <w:rsid w:val="00C12814"/>
    <w:rsid w:val="00C145B5"/>
    <w:rsid w:val="00C1640B"/>
    <w:rsid w:val="00C42333"/>
    <w:rsid w:val="00C47C3D"/>
    <w:rsid w:val="00C56C5C"/>
    <w:rsid w:val="00C71A4C"/>
    <w:rsid w:val="00C73CDC"/>
    <w:rsid w:val="00C9257F"/>
    <w:rsid w:val="00C94E90"/>
    <w:rsid w:val="00C958E5"/>
    <w:rsid w:val="00CC62C4"/>
    <w:rsid w:val="00CC7C84"/>
    <w:rsid w:val="00CD29F4"/>
    <w:rsid w:val="00CD6E47"/>
    <w:rsid w:val="00CE4B0C"/>
    <w:rsid w:val="00CE5611"/>
    <w:rsid w:val="00CF2743"/>
    <w:rsid w:val="00CF5777"/>
    <w:rsid w:val="00D02B7F"/>
    <w:rsid w:val="00D03E73"/>
    <w:rsid w:val="00D1277D"/>
    <w:rsid w:val="00D2732D"/>
    <w:rsid w:val="00D37A59"/>
    <w:rsid w:val="00D43C7D"/>
    <w:rsid w:val="00D47BBB"/>
    <w:rsid w:val="00D53939"/>
    <w:rsid w:val="00D57CF9"/>
    <w:rsid w:val="00D70DAF"/>
    <w:rsid w:val="00D823A5"/>
    <w:rsid w:val="00D86F91"/>
    <w:rsid w:val="00D9130E"/>
    <w:rsid w:val="00D93A48"/>
    <w:rsid w:val="00DA58E6"/>
    <w:rsid w:val="00DB277A"/>
    <w:rsid w:val="00DC3651"/>
    <w:rsid w:val="00DC59C0"/>
    <w:rsid w:val="00DE1E35"/>
    <w:rsid w:val="00DE59E0"/>
    <w:rsid w:val="00DF6DA8"/>
    <w:rsid w:val="00E02BAB"/>
    <w:rsid w:val="00E03A26"/>
    <w:rsid w:val="00E05C28"/>
    <w:rsid w:val="00E0763F"/>
    <w:rsid w:val="00E11FD8"/>
    <w:rsid w:val="00E14DE8"/>
    <w:rsid w:val="00E27493"/>
    <w:rsid w:val="00E44AD2"/>
    <w:rsid w:val="00E47D35"/>
    <w:rsid w:val="00E516ED"/>
    <w:rsid w:val="00E534EA"/>
    <w:rsid w:val="00E5412E"/>
    <w:rsid w:val="00E54518"/>
    <w:rsid w:val="00E77605"/>
    <w:rsid w:val="00E86BAC"/>
    <w:rsid w:val="00E91435"/>
    <w:rsid w:val="00E92B63"/>
    <w:rsid w:val="00EA7D01"/>
    <w:rsid w:val="00EC0463"/>
    <w:rsid w:val="00ED2321"/>
    <w:rsid w:val="00ED28DB"/>
    <w:rsid w:val="00ED7E28"/>
    <w:rsid w:val="00EE4B42"/>
    <w:rsid w:val="00EF6C94"/>
    <w:rsid w:val="00F03A0A"/>
    <w:rsid w:val="00F048BB"/>
    <w:rsid w:val="00F17D01"/>
    <w:rsid w:val="00F23293"/>
    <w:rsid w:val="00F33B1E"/>
    <w:rsid w:val="00F4319C"/>
    <w:rsid w:val="00F4773A"/>
    <w:rsid w:val="00F50F88"/>
    <w:rsid w:val="00F51F7D"/>
    <w:rsid w:val="00F53258"/>
    <w:rsid w:val="00F543BD"/>
    <w:rsid w:val="00F67807"/>
    <w:rsid w:val="00F96AE0"/>
    <w:rsid w:val="00F96B6E"/>
    <w:rsid w:val="00FA562C"/>
    <w:rsid w:val="00FA6F41"/>
    <w:rsid w:val="00FC0C9F"/>
    <w:rsid w:val="00FC2489"/>
    <w:rsid w:val="00FC543F"/>
    <w:rsid w:val="00FC67C0"/>
    <w:rsid w:val="00FF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9D2CE"/>
  <w14:defaultImageDpi w14:val="96"/>
  <w15:docId w15:val="{E6AC8F9E-BDF9-4F4D-B744-9610386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color w:val="000000"/>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character" w:styleId="FollowedHyperlink">
    <w:name w:val="FollowedHyperlink"/>
    <w:basedOn w:val="DefaultParagraphFont"/>
    <w:uiPriority w:val="99"/>
    <w:rPr>
      <w:color w:val="954F72"/>
      <w:u w:val="single"/>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character" w:styleId="Strong">
    <w:name w:val="Strong"/>
    <w:basedOn w:val="DefaultParagraphFont"/>
    <w:uiPriority w:val="22"/>
    <w:qFormat/>
    <w:rsid w:val="00980A56"/>
    <w:rPr>
      <w:b/>
      <w:bCs/>
    </w:rPr>
  </w:style>
  <w:style w:type="paragraph" w:styleId="ListParagraph">
    <w:name w:val="List Paragraph"/>
    <w:basedOn w:val="Normal"/>
    <w:uiPriority w:val="34"/>
    <w:qFormat/>
    <w:rsid w:val="003D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7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tswor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36BB-EE41-48A8-8510-5530D432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Carr, Jeanne</cp:lastModifiedBy>
  <cp:revision>2</cp:revision>
  <dcterms:created xsi:type="dcterms:W3CDTF">2021-06-17T14:44:00Z</dcterms:created>
  <dcterms:modified xsi:type="dcterms:W3CDTF">2021-06-17T14:44:00Z</dcterms:modified>
</cp:coreProperties>
</file>